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240" w:lineRule="auto"/>
        <w:ind w:firstLine="0"/>
        <w:jc w:val="righ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项目编号：LZWL-TZYY-2022-015</w:t>
      </w:r>
    </w:p>
    <w:p>
      <w:pPr>
        <w:jc w:val="center"/>
        <w:rPr>
          <w:rFonts w:ascii="Times New Roman" w:hAnsi="Times New Roman" w:eastAsia="方正小标宋简体" w:cs="Times New Roman"/>
          <w:b/>
          <w:color w:val="auto"/>
          <w:sz w:val="42"/>
          <w:szCs w:val="52"/>
        </w:rPr>
      </w:pPr>
    </w:p>
    <w:p>
      <w:pPr>
        <w:jc w:val="center"/>
        <w:rPr>
          <w:rFonts w:hint="eastAsia" w:ascii="长城小标宋体" w:hAnsi="长城小标宋体" w:eastAsiaTheme="minorEastAsia"/>
          <w:b/>
          <w:color w:val="auto"/>
          <w:sz w:val="44"/>
        </w:rPr>
      </w:pPr>
      <w:r>
        <w:rPr>
          <w:rFonts w:hint="eastAsia" w:ascii="长城小标宋体" w:hAnsi="长城小标宋体" w:eastAsia="长城小标宋体"/>
          <w:b/>
          <w:color w:val="auto"/>
          <w:sz w:val="44"/>
        </w:rPr>
        <w:t>紫兰湖沿线增彩添香项目</w:t>
      </w:r>
    </w:p>
    <w:p>
      <w:pPr>
        <w:jc w:val="center"/>
        <w:rPr>
          <w:rFonts w:hint="eastAsia" w:ascii="长城小标宋体" w:hAnsi="长城小标宋体" w:eastAsiaTheme="minorEastAsia"/>
          <w:b/>
          <w:color w:val="auto"/>
          <w:sz w:val="44"/>
        </w:rPr>
      </w:pPr>
      <w:r>
        <w:rPr>
          <w:rFonts w:hint="eastAsia" w:ascii="长城小标宋体" w:hAnsi="长城小标宋体" w:eastAsia="长城小标宋体"/>
          <w:b/>
          <w:color w:val="auto"/>
          <w:sz w:val="44"/>
        </w:rPr>
        <w:t>跟踪</w:t>
      </w:r>
      <w:r>
        <w:rPr>
          <w:rFonts w:ascii="长城小标宋体" w:hAnsi="长城小标宋体" w:eastAsia="长城小标宋体"/>
          <w:b/>
          <w:color w:val="auto"/>
          <w:sz w:val="44"/>
        </w:rPr>
        <w:t>审计</w:t>
      </w:r>
      <w:r>
        <w:rPr>
          <w:rFonts w:hint="eastAsia" w:asciiTheme="minorEastAsia" w:hAnsiTheme="minorEastAsia" w:eastAsiaTheme="minorEastAsia"/>
          <w:b/>
          <w:color w:val="auto"/>
          <w:sz w:val="44"/>
        </w:rPr>
        <w:t>及</w:t>
      </w:r>
      <w:r>
        <w:rPr>
          <w:rFonts w:ascii="长城小标宋体" w:hAnsi="长城小标宋体" w:eastAsia="长城小标宋体"/>
          <w:b/>
          <w:color w:val="auto"/>
          <w:sz w:val="44"/>
        </w:rPr>
        <w:t>结算内审</w:t>
      </w:r>
      <w:bookmarkStart w:id="180" w:name="_GoBack"/>
      <w:bookmarkEnd w:id="180"/>
    </w:p>
    <w:p>
      <w:pPr>
        <w:jc w:val="center"/>
        <w:rPr>
          <w:rFonts w:ascii="方正小标宋简体" w:hAnsi="方正小标宋简体" w:eastAsia="长城小标宋体" w:cs="方正小标宋简体"/>
          <w:bCs/>
          <w:color w:val="auto"/>
        </w:rPr>
      </w:pPr>
      <w:r>
        <w:rPr>
          <w:rFonts w:hint="eastAsia" w:ascii="长城小标宋体" w:hAnsi="长城小标宋体" w:eastAsia="长城小标宋体"/>
          <w:b/>
          <w:color w:val="auto"/>
          <w:sz w:val="44"/>
        </w:rPr>
        <w:t>服务采购</w:t>
      </w:r>
    </w:p>
    <w:p>
      <w:pPr>
        <w:pStyle w:val="2"/>
        <w:jc w:val="center"/>
      </w:pPr>
    </w:p>
    <w:p>
      <w:pPr>
        <w:ind w:firstLine="0"/>
        <w:rPr>
          <w:color w:val="auto"/>
        </w:rPr>
      </w:pPr>
    </w:p>
    <w:p>
      <w:pPr>
        <w:pStyle w:val="2"/>
      </w:pPr>
    </w:p>
    <w:p>
      <w:pPr>
        <w:widowControl/>
        <w:jc w:val="center"/>
        <w:rPr>
          <w:rFonts w:ascii="楷体_GB2312" w:hAnsi="楷体_GB2312" w:eastAsia="楷体_GB2312" w:cs="楷体_GB2312"/>
          <w:color w:val="auto"/>
          <w:sz w:val="72"/>
          <w:szCs w:val="72"/>
        </w:rPr>
      </w:pPr>
      <w:r>
        <w:rPr>
          <w:rFonts w:hint="eastAsia" w:ascii="楷体_GB2312" w:hAnsi="楷体_GB2312" w:eastAsia="楷体_GB2312" w:cs="楷体_GB2312"/>
          <w:color w:val="auto"/>
          <w:sz w:val="72"/>
          <w:szCs w:val="72"/>
        </w:rPr>
        <w:t>采</w:t>
      </w:r>
    </w:p>
    <w:p>
      <w:pPr>
        <w:widowControl/>
        <w:jc w:val="center"/>
        <w:rPr>
          <w:rFonts w:ascii="楷体_GB2312" w:hAnsi="楷体_GB2312" w:eastAsia="楷体_GB2312" w:cs="楷体_GB2312"/>
          <w:color w:val="auto"/>
          <w:sz w:val="72"/>
          <w:szCs w:val="72"/>
        </w:rPr>
      </w:pPr>
      <w:r>
        <w:rPr>
          <w:rFonts w:hint="eastAsia" w:ascii="楷体_GB2312" w:hAnsi="楷体_GB2312" w:eastAsia="楷体_GB2312" w:cs="楷体_GB2312"/>
          <w:color w:val="auto"/>
          <w:sz w:val="72"/>
          <w:szCs w:val="72"/>
        </w:rPr>
        <w:t>购</w:t>
      </w:r>
    </w:p>
    <w:p>
      <w:pPr>
        <w:widowControl/>
        <w:jc w:val="center"/>
        <w:rPr>
          <w:rFonts w:ascii="楷体_GB2312" w:hAnsi="楷体_GB2312" w:eastAsia="楷体_GB2312" w:cs="楷体_GB2312"/>
          <w:color w:val="auto"/>
          <w:sz w:val="72"/>
          <w:szCs w:val="72"/>
        </w:rPr>
      </w:pPr>
      <w:r>
        <w:rPr>
          <w:rFonts w:hint="eastAsia" w:ascii="楷体_GB2312" w:hAnsi="楷体_GB2312" w:eastAsia="楷体_GB2312" w:cs="楷体_GB2312"/>
          <w:color w:val="auto"/>
          <w:sz w:val="72"/>
          <w:szCs w:val="72"/>
        </w:rPr>
        <w:t>文</w:t>
      </w:r>
    </w:p>
    <w:p>
      <w:pPr>
        <w:jc w:val="center"/>
        <w:rPr>
          <w:rFonts w:ascii="楷体_GB2312" w:hAnsi="楷体_GB2312" w:eastAsia="楷体_GB2312" w:cs="楷体_GB2312"/>
          <w:color w:val="auto"/>
          <w:sz w:val="72"/>
          <w:szCs w:val="72"/>
        </w:rPr>
      </w:pPr>
      <w:r>
        <w:rPr>
          <w:rFonts w:hint="eastAsia" w:ascii="楷体_GB2312" w:hAnsi="楷体_GB2312" w:eastAsia="楷体_GB2312" w:cs="楷体_GB2312"/>
          <w:color w:val="auto"/>
          <w:sz w:val="72"/>
          <w:szCs w:val="72"/>
        </w:rPr>
        <w:t>件</w:t>
      </w:r>
    </w:p>
    <w:p>
      <w:pPr>
        <w:pStyle w:val="3"/>
        <w:ind w:firstLine="0" w:firstLineChars="0"/>
      </w:pPr>
    </w:p>
    <w:p>
      <w:pPr>
        <w:pStyle w:val="3"/>
        <w:ind w:firstLine="0" w:firstLineChars="0"/>
      </w:pPr>
    </w:p>
    <w:p>
      <w:pPr>
        <w:ind w:firstLine="0"/>
        <w:jc w:val="center"/>
        <w:rPr>
          <w:rFonts w:ascii="楷体" w:hAnsi="楷体" w:eastAsia="楷体" w:cs="楷体"/>
          <w:b/>
          <w:color w:val="auto"/>
          <w:sz w:val="32"/>
          <w:szCs w:val="36"/>
        </w:rPr>
      </w:pPr>
      <w:r>
        <w:rPr>
          <w:rFonts w:hint="eastAsia" w:ascii="楷体" w:hAnsi="楷体" w:eastAsia="楷体" w:cs="楷体"/>
          <w:b/>
          <w:color w:val="auto"/>
          <w:sz w:val="32"/>
          <w:szCs w:val="36"/>
        </w:rPr>
        <w:t>中国·四川(广元)</w:t>
      </w:r>
    </w:p>
    <w:p>
      <w:pPr>
        <w:spacing w:line="480" w:lineRule="exact"/>
        <w:jc w:val="center"/>
        <w:rPr>
          <w:rFonts w:ascii="楷体" w:hAnsi="楷体" w:eastAsia="楷体" w:cs="楷体"/>
          <w:b/>
          <w:color w:val="auto"/>
          <w:sz w:val="32"/>
          <w:szCs w:val="36"/>
        </w:rPr>
      </w:pPr>
    </w:p>
    <w:p>
      <w:pPr>
        <w:spacing w:line="480" w:lineRule="exact"/>
        <w:jc w:val="center"/>
        <w:rPr>
          <w:rFonts w:ascii="楷体" w:hAnsi="楷体" w:eastAsia="楷体" w:cs="楷体"/>
          <w:b/>
          <w:color w:val="auto"/>
          <w:sz w:val="32"/>
          <w:szCs w:val="36"/>
        </w:rPr>
      </w:pPr>
      <w:r>
        <w:rPr>
          <w:rFonts w:hint="eastAsia" w:ascii="楷体" w:hAnsi="楷体" w:eastAsia="楷体" w:cs="楷体"/>
          <w:b/>
          <w:color w:val="auto"/>
          <w:sz w:val="32"/>
          <w:szCs w:val="36"/>
        </w:rPr>
        <w:t>广元市利州区文旅投资集团有限公司编制</w:t>
      </w:r>
    </w:p>
    <w:p>
      <w:pPr>
        <w:spacing w:line="480" w:lineRule="exact"/>
        <w:jc w:val="center"/>
        <w:rPr>
          <w:rFonts w:ascii="楷体" w:hAnsi="楷体" w:eastAsia="楷体" w:cs="楷体"/>
          <w:b/>
          <w:color w:val="auto"/>
          <w:sz w:val="32"/>
          <w:szCs w:val="36"/>
        </w:rPr>
        <w:sectPr>
          <w:footerReference r:id="rId5" w:type="default"/>
          <w:pgSz w:w="11906" w:h="16838"/>
          <w:pgMar w:top="2098" w:right="1417" w:bottom="1984" w:left="1588" w:header="851" w:footer="567" w:gutter="0"/>
          <w:cols w:space="720" w:num="1"/>
          <w:docGrid w:type="lines" w:linePitch="312" w:charSpace="0"/>
        </w:sectPr>
      </w:pPr>
      <w:bookmarkStart w:id="0" w:name="_Hlt101843627"/>
      <w:bookmarkEnd w:id="0"/>
      <w:bookmarkStart w:id="1" w:name="_Hlt101233737"/>
      <w:bookmarkEnd w:id="1"/>
      <w:r>
        <w:rPr>
          <w:rFonts w:hint="eastAsia" w:ascii="楷体" w:hAnsi="楷体" w:eastAsia="楷体" w:cs="楷体"/>
          <w:b/>
          <w:color w:val="auto"/>
          <w:sz w:val="32"/>
          <w:szCs w:val="36"/>
        </w:rPr>
        <w:t>2022年4月</w:t>
      </w:r>
    </w:p>
    <w:p>
      <w:pPr>
        <w:pStyle w:val="5"/>
        <w:keepNext w:val="0"/>
        <w:keepLines w:val="0"/>
        <w:spacing w:before="240" w:after="240" w:line="240" w:lineRule="auto"/>
        <w:ind w:firstLine="0"/>
        <w:jc w:val="center"/>
        <w:rPr>
          <w:rFonts w:ascii="Times New Roman" w:hAnsi="Times New Roman" w:eastAsia="仿宋_GB2312" w:cs="Times New Roman"/>
          <w:bCs w:val="0"/>
          <w:color w:val="auto"/>
          <w:sz w:val="40"/>
          <w:szCs w:val="44"/>
        </w:rPr>
      </w:pPr>
      <w:bookmarkStart w:id="2" w:name="_Toc17396"/>
      <w:bookmarkStart w:id="3" w:name="_Toc14561"/>
      <w:r>
        <w:rPr>
          <w:rFonts w:hint="eastAsia" w:ascii="Times New Roman" w:hAnsi="Times New Roman" w:eastAsia="仿宋_GB2312" w:cs="Times New Roman"/>
          <w:bCs w:val="0"/>
          <w:color w:val="auto"/>
          <w:sz w:val="40"/>
          <w:szCs w:val="44"/>
        </w:rPr>
        <w:t xml:space="preserve">第一章 </w:t>
      </w:r>
      <w:bookmarkEnd w:id="2"/>
      <w:r>
        <w:rPr>
          <w:rFonts w:hint="eastAsia" w:ascii="Times New Roman" w:hAnsi="Times New Roman" w:eastAsia="仿宋_GB2312" w:cs="Times New Roman"/>
          <w:bCs w:val="0"/>
          <w:color w:val="auto"/>
          <w:sz w:val="40"/>
          <w:szCs w:val="44"/>
        </w:rPr>
        <w:t>邀请公告</w:t>
      </w:r>
      <w:bookmarkEnd w:id="3"/>
    </w:p>
    <w:p>
      <w:pPr>
        <w:pStyle w:val="42"/>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拟对</w:t>
      </w:r>
      <w:r>
        <w:rPr>
          <w:rFonts w:hint="eastAsia" w:ascii="仿宋_GB2312" w:hAnsi="仿宋_GB2312" w:eastAsia="仿宋_GB2312" w:cs="仿宋_GB2312"/>
          <w:color w:val="auto"/>
          <w:sz w:val="28"/>
          <w:szCs w:val="28"/>
          <w:u w:val="single"/>
        </w:rPr>
        <w:t>紫兰湖沿线增彩添香项目跟踪审计及结算内审服务采购</w:t>
      </w:r>
      <w:r>
        <w:rPr>
          <w:rFonts w:hint="eastAsia" w:ascii="仿宋_GB2312" w:hAnsi="仿宋_GB2312" w:eastAsia="仿宋_GB2312" w:cs="仿宋_GB2312"/>
          <w:color w:val="auto"/>
          <w:sz w:val="28"/>
          <w:szCs w:val="28"/>
        </w:rPr>
        <w:t>项目采用报价方式进行采购，特邀请符合采购要求的意向供应商参加报价。</w:t>
      </w:r>
    </w:p>
    <w:p>
      <w:pPr>
        <w:spacing w:line="24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一、基本情况</w:t>
      </w:r>
    </w:p>
    <w:p>
      <w:pPr>
        <w:spacing w:line="24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（一）项目编号：LZWL-TZYY-2022-015</w:t>
      </w:r>
    </w:p>
    <w:p>
      <w:pPr>
        <w:spacing w:line="24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（二）项目名称：紫兰湖沿线增彩添香项目跟踪审计及结算内审服务采购</w:t>
      </w:r>
    </w:p>
    <w:p>
      <w:pPr>
        <w:numPr>
          <w:ilvl w:val="0"/>
          <w:numId w:val="2"/>
        </w:numPr>
        <w:spacing w:line="24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采购人：广元市利州区文旅投资集团有限公司</w:t>
      </w:r>
    </w:p>
    <w:p>
      <w:pPr>
        <w:spacing w:line="24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二、资金情况</w:t>
      </w:r>
    </w:p>
    <w:p>
      <w:pPr>
        <w:spacing w:line="240" w:lineRule="auto"/>
        <w:ind w:firstLine="560" w:firstLineChars="200"/>
        <w:rPr>
          <w:rFonts w:ascii="仿宋_GB2312" w:hAnsi="仿宋_GB2312" w:eastAsia="仿宋_GB2312" w:cs="仿宋_GB2312"/>
          <w:color w:val="auto"/>
          <w:sz w:val="28"/>
        </w:rPr>
      </w:pPr>
      <w:r>
        <w:rPr>
          <w:rFonts w:hint="eastAsia" w:ascii="仿宋_GB2312" w:hAnsi="仿宋_GB2312" w:eastAsia="仿宋_GB2312" w:cs="仿宋_GB2312"/>
          <w:color w:val="auto"/>
          <w:sz w:val="28"/>
        </w:rPr>
        <w:t>预算金额及来源：企业自筹资金。</w:t>
      </w:r>
    </w:p>
    <w:p>
      <w:pPr>
        <w:spacing w:line="24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本次最高限价的，计算基数暂按390万，最终以送审结算金额为最终计算基数。</w:t>
      </w:r>
    </w:p>
    <w:p>
      <w:pPr>
        <w:pStyle w:val="38"/>
        <w:numPr>
          <w:ilvl w:val="0"/>
          <w:numId w:val="3"/>
        </w:numPr>
        <w:spacing w:line="240" w:lineRule="auto"/>
        <w:ind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跟踪审计计算费率按《工程造价咨询服务收费标准》(川价发〔2008〕141号)第十一项“施工阶段全过程造价控制” 标准下浮20%。</w:t>
      </w:r>
    </w:p>
    <w:p>
      <w:pPr>
        <w:pStyle w:val="38"/>
        <w:numPr>
          <w:ilvl w:val="0"/>
          <w:numId w:val="3"/>
        </w:numPr>
        <w:spacing w:line="240" w:lineRule="auto"/>
        <w:ind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结算内审计算费率按《工程造价咨询服务收费标准》(川价发〔2008〕141号)第九项“审核竣工结算”标准下浮20%，效益费按4%计取的标准下浮20%。</w:t>
      </w:r>
    </w:p>
    <w:p>
      <w:pPr>
        <w:spacing w:line="24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三、项目简介</w:t>
      </w:r>
    </w:p>
    <w:p>
      <w:pPr>
        <w:spacing w:line="24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紫兰湖沿线增彩添香项目跟踪审计及结算内审（内审）服务采购具体内容详见本采购文件第三章。</w:t>
      </w:r>
    </w:p>
    <w:p>
      <w:pPr>
        <w:spacing w:line="24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四、公告方式</w:t>
      </w:r>
    </w:p>
    <w:p>
      <w:pPr>
        <w:spacing w:line="24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本次邀请公告在广元市利州区文旅投资集团有限公司官网以公告形式发布。</w:t>
      </w:r>
    </w:p>
    <w:p>
      <w:pPr>
        <w:spacing w:line="24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五、供应商参加本次采购活动应具备的资格条件</w:t>
      </w:r>
    </w:p>
    <w:p>
      <w:pPr>
        <w:pStyle w:val="46"/>
        <w:spacing w:line="240" w:lineRule="auto"/>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（一）具有独立承担民事责任的能力；</w:t>
      </w:r>
    </w:p>
    <w:p>
      <w:pPr>
        <w:tabs>
          <w:tab w:val="left" w:pos="7665"/>
        </w:tabs>
        <w:spacing w:line="24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（二）具有良好的商业信誉和健全的财务会计制度；</w:t>
      </w:r>
    </w:p>
    <w:p>
      <w:pPr>
        <w:tabs>
          <w:tab w:val="left" w:pos="7665"/>
        </w:tabs>
        <w:spacing w:line="24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（三）具有履行合同所必须的设备和专业技术能力；</w:t>
      </w:r>
    </w:p>
    <w:p>
      <w:pPr>
        <w:tabs>
          <w:tab w:val="left" w:pos="7665"/>
        </w:tabs>
        <w:spacing w:line="24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（四）具有依法缴纳税收和社会保障资金的良好记录；</w:t>
      </w:r>
    </w:p>
    <w:p>
      <w:pPr>
        <w:tabs>
          <w:tab w:val="left" w:pos="7665"/>
        </w:tabs>
        <w:spacing w:line="24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（五）参加本次采购活动前三年内，在经营活动中没有重大违法记录；</w:t>
      </w:r>
    </w:p>
    <w:p>
      <w:pPr>
        <w:pStyle w:val="46"/>
        <w:spacing w:line="240" w:lineRule="auto"/>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（六）法律、行政法规规定的其他条件。</w:t>
      </w:r>
    </w:p>
    <w:p>
      <w:pPr>
        <w:spacing w:line="24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六、采购文件获取</w:t>
      </w:r>
    </w:p>
    <w:p>
      <w:pPr>
        <w:spacing w:line="24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（一）获取时间</w:t>
      </w:r>
    </w:p>
    <w:p>
      <w:pPr>
        <w:spacing w:line="24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项目公告期内9:00-17:30（北京时间，法定节假日除外）。本项目公告期为：2022年4月21日至2022年4月25日。</w:t>
      </w:r>
    </w:p>
    <w:p>
      <w:pPr>
        <w:spacing w:line="24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（二）获取方式</w:t>
      </w:r>
    </w:p>
    <w:p>
      <w:pPr>
        <w:spacing w:line="240" w:lineRule="auto"/>
        <w:ind w:firstLine="560" w:firstLineChars="200"/>
      </w:pPr>
      <w:r>
        <w:rPr>
          <w:rFonts w:hint="eastAsia" w:ascii="仿宋_GB2312" w:hAnsi="仿宋_GB2312" w:eastAsia="仿宋_GB2312" w:cs="仿宋_GB2312"/>
          <w:color w:val="auto"/>
          <w:sz w:val="28"/>
          <w:szCs w:val="28"/>
        </w:rPr>
        <w:t>凡有意报名参与本项目的供应商，请于采购文件获取时间内在广元市利州区文旅投资集团管网下载获取，</w:t>
      </w:r>
      <w:r>
        <w:rPr>
          <w:rFonts w:hint="eastAsia" w:ascii="Times New Roman" w:hAnsi="仿宋" w:cs="Times New Roman"/>
          <w:color w:val="auto"/>
          <w:sz w:val="28"/>
          <w:szCs w:val="28"/>
        </w:rPr>
        <w:t>本项目采购文件无偿获取。</w:t>
      </w:r>
    </w:p>
    <w:p>
      <w:pPr>
        <w:spacing w:line="24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七、响应文件</w:t>
      </w:r>
    </w:p>
    <w:p>
      <w:pPr>
        <w:pStyle w:val="2"/>
        <w:spacing w:after="0" w:line="240" w:lineRule="auto"/>
        <w:ind w:firstLine="560" w:firstLineChars="200"/>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（一）资格性响应及采购承诺声明；</w:t>
      </w:r>
    </w:p>
    <w:p>
      <w:pPr>
        <w:spacing w:line="24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（二）企业营业执照、资质证书；</w:t>
      </w:r>
    </w:p>
    <w:p>
      <w:pPr>
        <w:pStyle w:val="2"/>
        <w:spacing w:after="0" w:line="240" w:lineRule="auto"/>
        <w:ind w:firstLine="560" w:firstLineChars="200"/>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（三）法定代表人授权书；</w:t>
      </w:r>
    </w:p>
    <w:p>
      <w:pPr>
        <w:spacing w:line="24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（四）法定代表人、授权委托人身份证复印件；</w:t>
      </w:r>
    </w:p>
    <w:p>
      <w:pPr>
        <w:spacing w:line="24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（五）报价承诺函；  </w:t>
      </w:r>
    </w:p>
    <w:p>
      <w:pPr>
        <w:spacing w:line="24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（六） 报价函。                                                                                                                                                                                                                                                                                                                                             </w:t>
      </w:r>
    </w:p>
    <w:p>
      <w:pPr>
        <w:pStyle w:val="2"/>
        <w:spacing w:after="0" w:line="240" w:lineRule="auto"/>
        <w:ind w:firstLine="562" w:firstLineChars="200"/>
        <w:rPr>
          <w:rFonts w:ascii="仿宋_GB2312" w:hAnsi="仿宋_GB2312" w:eastAsia="仿宋_GB2312" w:cs="仿宋_GB2312"/>
          <w:b/>
          <w:color w:val="auto"/>
          <w:kern w:val="2"/>
          <w:sz w:val="28"/>
          <w:szCs w:val="28"/>
        </w:rPr>
      </w:pPr>
      <w:r>
        <w:rPr>
          <w:rFonts w:hint="eastAsia" w:ascii="仿宋_GB2312" w:hAnsi="仿宋_GB2312" w:eastAsia="仿宋_GB2312" w:cs="仿宋_GB2312"/>
          <w:b/>
          <w:color w:val="auto"/>
          <w:kern w:val="2"/>
          <w:sz w:val="28"/>
          <w:szCs w:val="28"/>
        </w:rPr>
        <w:t>十、项目报名</w:t>
      </w:r>
    </w:p>
    <w:p>
      <w:pPr>
        <w:spacing w:line="24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在项目公告期内即</w:t>
      </w:r>
      <w:r>
        <w:rPr>
          <w:rFonts w:hint="eastAsia" w:ascii="仿宋_GB2312" w:hAnsi="仿宋_GB2312" w:eastAsia="仿宋_GB2312" w:cs="仿宋_GB2312"/>
          <w:color w:val="auto"/>
          <w:sz w:val="28"/>
          <w:szCs w:val="28"/>
          <w:u w:val="single"/>
        </w:rPr>
        <w:t>2022年4月21日至2022年4月25日，</w:t>
      </w:r>
      <w:r>
        <w:rPr>
          <w:rFonts w:hint="eastAsia" w:ascii="仿宋_GB2312" w:hAnsi="仿宋_GB2312" w:eastAsia="仿宋_GB2312" w:cs="仿宋_GB2312"/>
          <w:color w:val="auto"/>
          <w:sz w:val="28"/>
          <w:szCs w:val="28"/>
        </w:rPr>
        <w:t>填写报名登记表盖鲜章扫描后传于邮箱</w:t>
      </w:r>
      <w:r>
        <w:rPr>
          <w:rFonts w:ascii="仿宋_GB2312" w:hAnsi="仿宋_GB2312" w:eastAsia="仿宋_GB2312" w:cs="仿宋_GB2312"/>
          <w:color w:val="auto"/>
          <w:sz w:val="28"/>
          <w:szCs w:val="28"/>
        </w:rPr>
        <w:t>276854285</w:t>
      </w:r>
      <w:r>
        <w:rPr>
          <w:rFonts w:hint="eastAsia" w:ascii="仿宋_GB2312" w:hAnsi="仿宋_GB2312" w:eastAsia="仿宋_GB2312" w:cs="仿宋_GB2312"/>
          <w:color w:val="auto"/>
          <w:sz w:val="28"/>
          <w:szCs w:val="28"/>
        </w:rPr>
        <w:t xml:space="preserve"> qq.com，视为对本项目报名成功。</w:t>
      </w:r>
    </w:p>
    <w:p>
      <w:pPr>
        <w:spacing w:line="24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报名成功后，参与采购活动的报价资格不能转让。</w:t>
      </w:r>
    </w:p>
    <w:p>
      <w:pPr>
        <w:spacing w:line="24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十一、报价开始时间</w:t>
      </w:r>
    </w:p>
    <w:p>
      <w:pPr>
        <w:spacing w:line="24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报价开始时间：</w:t>
      </w:r>
      <w:r>
        <w:rPr>
          <w:rFonts w:hint="eastAsia" w:ascii="仿宋_GB2312" w:hAnsi="仿宋_GB2312" w:eastAsia="仿宋_GB2312" w:cs="仿宋_GB2312"/>
          <w:color w:val="auto"/>
          <w:sz w:val="28"/>
          <w:szCs w:val="28"/>
          <w:u w:val="single"/>
        </w:rPr>
        <w:t>2022年4月26日</w:t>
      </w:r>
      <w:r>
        <w:rPr>
          <w:rFonts w:hint="eastAsia" w:ascii="仿宋_GB2312" w:hAnsi="仿宋_GB2312" w:eastAsia="仿宋_GB2312" w:cs="仿宋_GB2312"/>
          <w:color w:val="auto"/>
          <w:sz w:val="28"/>
          <w:szCs w:val="28"/>
          <w:u w:val="single"/>
          <w:lang w:val="en-US" w:eastAsia="zh-CN"/>
        </w:rPr>
        <w:t>10</w:t>
      </w:r>
      <w:r>
        <w:rPr>
          <w:rFonts w:hint="eastAsia" w:ascii="仿宋_GB2312" w:hAnsi="仿宋_GB2312" w:eastAsia="仿宋_GB2312" w:cs="仿宋_GB2312"/>
          <w:color w:val="auto"/>
          <w:sz w:val="28"/>
          <w:szCs w:val="28"/>
          <w:u w:val="single"/>
        </w:rPr>
        <w:t>:</w:t>
      </w:r>
      <w:r>
        <w:rPr>
          <w:rFonts w:hint="eastAsia" w:ascii="仿宋_GB2312" w:hAnsi="仿宋_GB2312" w:eastAsia="仿宋_GB2312" w:cs="仿宋_GB2312"/>
          <w:color w:val="auto"/>
          <w:sz w:val="28"/>
          <w:szCs w:val="28"/>
          <w:u w:val="single"/>
          <w:lang w:val="en-US" w:eastAsia="zh-CN"/>
        </w:rPr>
        <w:t>3</w:t>
      </w:r>
      <w:r>
        <w:rPr>
          <w:rFonts w:hint="eastAsia" w:ascii="仿宋_GB2312" w:hAnsi="仿宋_GB2312" w:eastAsia="仿宋_GB2312" w:cs="仿宋_GB2312"/>
          <w:color w:val="auto"/>
          <w:sz w:val="28"/>
          <w:szCs w:val="28"/>
          <w:u w:val="single"/>
        </w:rPr>
        <w:t>0</w:t>
      </w:r>
      <w:r>
        <w:rPr>
          <w:rFonts w:hint="eastAsia" w:ascii="仿宋_GB2312" w:hAnsi="仿宋_GB2312" w:eastAsia="仿宋_GB2312" w:cs="仿宋_GB2312"/>
          <w:color w:val="auto"/>
          <w:sz w:val="28"/>
          <w:szCs w:val="28"/>
        </w:rPr>
        <w:t>。</w:t>
      </w:r>
    </w:p>
    <w:p>
      <w:pPr>
        <w:spacing w:line="24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十二、联系方式</w:t>
      </w:r>
    </w:p>
    <w:p>
      <w:pPr>
        <w:spacing w:line="24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采 购 人</w:t>
      </w:r>
      <w:r>
        <w:rPr>
          <w:rFonts w:hint="eastAsia" w:ascii="仿宋_GB2312" w:hAnsi="仿宋_GB2312" w:eastAsia="仿宋_GB2312" w:cs="仿宋_GB2312"/>
          <w:sz w:val="28"/>
          <w:szCs w:val="28"/>
        </w:rPr>
        <w:t>：广元市利州区文旅投资集团有限公司</w:t>
      </w:r>
    </w:p>
    <w:p>
      <w:pPr>
        <w:pStyle w:val="46"/>
        <w:spacing w:line="24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通讯地址：南河体育场三楼</w:t>
      </w:r>
    </w:p>
    <w:p>
      <w:pPr>
        <w:pStyle w:val="46"/>
        <w:spacing w:line="24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邮    编：628000 </w:t>
      </w:r>
    </w:p>
    <w:p>
      <w:pPr>
        <w:pStyle w:val="46"/>
        <w:spacing w:line="240" w:lineRule="auto"/>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 系 人：陈先生</w:t>
      </w:r>
    </w:p>
    <w:p>
      <w:pPr>
        <w:pStyle w:val="46"/>
        <w:spacing w:line="240" w:lineRule="auto"/>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联系电话：18482110891</w:t>
      </w:r>
    </w:p>
    <w:p>
      <w:pPr>
        <w:pStyle w:val="5"/>
        <w:keepNext w:val="0"/>
        <w:keepLines w:val="0"/>
        <w:spacing w:before="240" w:after="240" w:line="240" w:lineRule="auto"/>
        <w:ind w:firstLine="0"/>
        <w:jc w:val="center"/>
        <w:rPr>
          <w:rFonts w:ascii="Times New Roman" w:hAnsi="Times New Roman" w:eastAsia="仿宋_GB2312" w:cs="Times New Roman"/>
          <w:bCs w:val="0"/>
          <w:color w:val="auto"/>
          <w:sz w:val="40"/>
          <w:szCs w:val="44"/>
        </w:rPr>
        <w:sectPr>
          <w:headerReference r:id="rId6" w:type="default"/>
          <w:footerReference r:id="rId7" w:type="default"/>
          <w:pgSz w:w="11906" w:h="16838"/>
          <w:pgMar w:top="1440" w:right="1800" w:bottom="1440" w:left="1800" w:header="851" w:footer="992" w:gutter="0"/>
          <w:cols w:space="425" w:num="1"/>
          <w:docGrid w:type="lines" w:linePitch="312" w:charSpace="0"/>
        </w:sectPr>
      </w:pPr>
      <w:bookmarkStart w:id="4" w:name="_Toc16247"/>
      <w:bookmarkStart w:id="5" w:name="_Toc16879"/>
    </w:p>
    <w:p>
      <w:pPr>
        <w:spacing w:after="240" w:line="720" w:lineRule="auto"/>
        <w:jc w:val="center"/>
        <w:rPr>
          <w:b/>
          <w:sz w:val="32"/>
          <w:szCs w:val="32"/>
        </w:rPr>
      </w:pPr>
      <w:r>
        <w:rPr>
          <w:rFonts w:hint="eastAsia"/>
          <w:b/>
          <w:sz w:val="32"/>
          <w:szCs w:val="32"/>
        </w:rPr>
        <w:t>供应商报名登记备案表</w:t>
      </w:r>
    </w:p>
    <w:tbl>
      <w:tblPr>
        <w:tblStyle w:val="19"/>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485"/>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448" w:type="dxa"/>
            <w:vAlign w:val="center"/>
          </w:tcPr>
          <w:p>
            <w:pPr>
              <w:jc w:val="center"/>
              <w:rPr>
                <w:szCs w:val="24"/>
              </w:rPr>
            </w:pPr>
            <w:r>
              <w:rPr>
                <w:rFonts w:hint="eastAsia"/>
                <w:szCs w:val="24"/>
              </w:rPr>
              <w:t>项目名称</w:t>
            </w:r>
          </w:p>
        </w:tc>
        <w:tc>
          <w:tcPr>
            <w:tcW w:w="7291" w:type="dxa"/>
            <w:gridSpan w:val="2"/>
            <w:vAlign w:val="center"/>
          </w:tcPr>
          <w:p>
            <w:pPr>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448" w:type="dxa"/>
            <w:vAlign w:val="center"/>
          </w:tcPr>
          <w:p>
            <w:pPr>
              <w:jc w:val="center"/>
              <w:rPr>
                <w:szCs w:val="24"/>
              </w:rPr>
            </w:pPr>
            <w:r>
              <w:rPr>
                <w:rFonts w:hint="eastAsia"/>
                <w:szCs w:val="24"/>
              </w:rPr>
              <w:t>项目编号</w:t>
            </w:r>
          </w:p>
        </w:tc>
        <w:tc>
          <w:tcPr>
            <w:tcW w:w="7291" w:type="dxa"/>
            <w:gridSpan w:val="2"/>
            <w:vAlign w:val="center"/>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448" w:type="dxa"/>
            <w:vAlign w:val="center"/>
          </w:tcPr>
          <w:p>
            <w:pPr>
              <w:jc w:val="center"/>
              <w:rPr>
                <w:szCs w:val="24"/>
              </w:rPr>
            </w:pPr>
            <w:r>
              <w:rPr>
                <w:rFonts w:hint="eastAsia"/>
                <w:szCs w:val="24"/>
              </w:rPr>
              <w:t>报名时间</w:t>
            </w:r>
          </w:p>
        </w:tc>
        <w:tc>
          <w:tcPr>
            <w:tcW w:w="7291" w:type="dxa"/>
            <w:gridSpan w:val="2"/>
            <w:vAlign w:val="center"/>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448" w:type="dxa"/>
            <w:vMerge w:val="restart"/>
            <w:vAlign w:val="center"/>
          </w:tcPr>
          <w:p>
            <w:pPr>
              <w:jc w:val="center"/>
              <w:rPr>
                <w:szCs w:val="24"/>
              </w:rPr>
            </w:pPr>
            <w:r>
              <w:rPr>
                <w:rFonts w:hint="eastAsia"/>
                <w:szCs w:val="24"/>
              </w:rPr>
              <w:t>单位信息</w:t>
            </w:r>
          </w:p>
        </w:tc>
        <w:tc>
          <w:tcPr>
            <w:tcW w:w="1485" w:type="dxa"/>
            <w:vAlign w:val="center"/>
          </w:tcPr>
          <w:p>
            <w:pPr>
              <w:ind w:firstLine="0"/>
              <w:rPr>
                <w:szCs w:val="24"/>
              </w:rPr>
            </w:pPr>
            <w:r>
              <w:rPr>
                <w:rFonts w:hint="eastAsia"/>
                <w:szCs w:val="24"/>
              </w:rPr>
              <w:t>单位名称</w:t>
            </w:r>
          </w:p>
        </w:tc>
        <w:tc>
          <w:tcPr>
            <w:tcW w:w="5806" w:type="dxa"/>
            <w:vAlign w:val="center"/>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448" w:type="dxa"/>
            <w:vMerge w:val="continue"/>
            <w:vAlign w:val="center"/>
          </w:tcPr>
          <w:p>
            <w:pPr>
              <w:jc w:val="center"/>
              <w:rPr>
                <w:szCs w:val="24"/>
              </w:rPr>
            </w:pPr>
          </w:p>
        </w:tc>
        <w:tc>
          <w:tcPr>
            <w:tcW w:w="1485" w:type="dxa"/>
            <w:vAlign w:val="center"/>
          </w:tcPr>
          <w:p>
            <w:pPr>
              <w:ind w:firstLine="0"/>
              <w:rPr>
                <w:szCs w:val="24"/>
              </w:rPr>
            </w:pPr>
            <w:r>
              <w:rPr>
                <w:rFonts w:hint="eastAsia"/>
                <w:szCs w:val="24"/>
              </w:rPr>
              <w:t>单位地址</w:t>
            </w:r>
          </w:p>
        </w:tc>
        <w:tc>
          <w:tcPr>
            <w:tcW w:w="5806" w:type="dxa"/>
            <w:vAlign w:val="center"/>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448" w:type="dxa"/>
            <w:vMerge w:val="continue"/>
            <w:vAlign w:val="center"/>
          </w:tcPr>
          <w:p>
            <w:pPr>
              <w:jc w:val="center"/>
              <w:rPr>
                <w:szCs w:val="24"/>
              </w:rPr>
            </w:pPr>
          </w:p>
        </w:tc>
        <w:tc>
          <w:tcPr>
            <w:tcW w:w="1485" w:type="dxa"/>
            <w:vAlign w:val="center"/>
          </w:tcPr>
          <w:p>
            <w:pPr>
              <w:ind w:firstLine="0"/>
              <w:rPr>
                <w:szCs w:val="24"/>
              </w:rPr>
            </w:pPr>
            <w:r>
              <w:rPr>
                <w:rFonts w:hint="eastAsia"/>
                <w:szCs w:val="24"/>
              </w:rPr>
              <w:t>联系电话</w:t>
            </w:r>
          </w:p>
        </w:tc>
        <w:tc>
          <w:tcPr>
            <w:tcW w:w="5806" w:type="dxa"/>
            <w:vAlign w:val="center"/>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448" w:type="dxa"/>
            <w:vMerge w:val="restart"/>
            <w:vAlign w:val="center"/>
          </w:tcPr>
          <w:p>
            <w:pPr>
              <w:jc w:val="center"/>
              <w:rPr>
                <w:szCs w:val="24"/>
              </w:rPr>
            </w:pPr>
            <w:r>
              <w:rPr>
                <w:rFonts w:hint="eastAsia"/>
                <w:szCs w:val="24"/>
              </w:rPr>
              <w:t>供应商经办人信息</w:t>
            </w:r>
          </w:p>
        </w:tc>
        <w:tc>
          <w:tcPr>
            <w:tcW w:w="1485" w:type="dxa"/>
            <w:vAlign w:val="center"/>
          </w:tcPr>
          <w:p>
            <w:pPr>
              <w:ind w:firstLine="0"/>
              <w:jc w:val="left"/>
              <w:rPr>
                <w:szCs w:val="24"/>
              </w:rPr>
            </w:pPr>
            <w:r>
              <w:rPr>
                <w:rFonts w:hint="eastAsia"/>
                <w:szCs w:val="24"/>
              </w:rPr>
              <w:t>姓    名</w:t>
            </w:r>
          </w:p>
        </w:tc>
        <w:tc>
          <w:tcPr>
            <w:tcW w:w="5806" w:type="dxa"/>
            <w:vAlign w:val="center"/>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448" w:type="dxa"/>
            <w:vMerge w:val="continue"/>
            <w:vAlign w:val="center"/>
          </w:tcPr>
          <w:p>
            <w:pPr>
              <w:jc w:val="center"/>
              <w:rPr>
                <w:szCs w:val="24"/>
              </w:rPr>
            </w:pPr>
          </w:p>
        </w:tc>
        <w:tc>
          <w:tcPr>
            <w:tcW w:w="1485" w:type="dxa"/>
            <w:vAlign w:val="center"/>
          </w:tcPr>
          <w:p>
            <w:pPr>
              <w:ind w:firstLine="0"/>
              <w:jc w:val="left"/>
              <w:rPr>
                <w:szCs w:val="24"/>
              </w:rPr>
            </w:pPr>
            <w:r>
              <w:rPr>
                <w:rFonts w:hint="eastAsia"/>
                <w:szCs w:val="24"/>
              </w:rPr>
              <w:t>联系电话</w:t>
            </w:r>
          </w:p>
        </w:tc>
        <w:tc>
          <w:tcPr>
            <w:tcW w:w="5806" w:type="dxa"/>
            <w:vAlign w:val="center"/>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448" w:type="dxa"/>
            <w:vMerge w:val="continue"/>
            <w:vAlign w:val="center"/>
          </w:tcPr>
          <w:p>
            <w:pPr>
              <w:jc w:val="center"/>
              <w:rPr>
                <w:szCs w:val="24"/>
              </w:rPr>
            </w:pPr>
          </w:p>
        </w:tc>
        <w:tc>
          <w:tcPr>
            <w:tcW w:w="1485" w:type="dxa"/>
            <w:vAlign w:val="center"/>
          </w:tcPr>
          <w:p>
            <w:pPr>
              <w:ind w:firstLine="0"/>
              <w:jc w:val="left"/>
              <w:rPr>
                <w:szCs w:val="24"/>
              </w:rPr>
            </w:pPr>
            <w:r>
              <w:rPr>
                <w:rFonts w:hint="eastAsia"/>
                <w:szCs w:val="24"/>
              </w:rPr>
              <w:t>电子邮件</w:t>
            </w:r>
          </w:p>
        </w:tc>
        <w:tc>
          <w:tcPr>
            <w:tcW w:w="5806" w:type="dxa"/>
            <w:vAlign w:val="center"/>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448" w:type="dxa"/>
            <w:vAlign w:val="center"/>
          </w:tcPr>
          <w:p>
            <w:pPr>
              <w:jc w:val="center"/>
              <w:rPr>
                <w:szCs w:val="24"/>
              </w:rPr>
            </w:pPr>
            <w:r>
              <w:rPr>
                <w:rFonts w:hint="eastAsia"/>
                <w:szCs w:val="24"/>
              </w:rPr>
              <w:t>备    注</w:t>
            </w:r>
          </w:p>
        </w:tc>
        <w:tc>
          <w:tcPr>
            <w:tcW w:w="7291" w:type="dxa"/>
            <w:gridSpan w:val="2"/>
            <w:vAlign w:val="center"/>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2448" w:type="dxa"/>
            <w:vAlign w:val="center"/>
          </w:tcPr>
          <w:p>
            <w:pPr>
              <w:jc w:val="center"/>
              <w:rPr>
                <w:szCs w:val="24"/>
              </w:rPr>
            </w:pPr>
            <w:r>
              <w:rPr>
                <w:rFonts w:hint="eastAsia"/>
                <w:szCs w:val="24"/>
              </w:rPr>
              <w:t>报名信息确认无误</w:t>
            </w:r>
          </w:p>
          <w:p>
            <w:pPr>
              <w:jc w:val="center"/>
              <w:rPr>
                <w:szCs w:val="24"/>
              </w:rPr>
            </w:pPr>
            <w:r>
              <w:rPr>
                <w:rFonts w:hint="eastAsia"/>
                <w:b/>
                <w:bCs/>
                <w:sz w:val="28"/>
                <w:szCs w:val="28"/>
              </w:rPr>
              <w:t>签字（盖章）</w:t>
            </w:r>
          </w:p>
        </w:tc>
        <w:tc>
          <w:tcPr>
            <w:tcW w:w="7291" w:type="dxa"/>
            <w:gridSpan w:val="2"/>
            <w:vAlign w:val="center"/>
          </w:tcPr>
          <w:p>
            <w:pPr>
              <w:rPr>
                <w:szCs w:val="24"/>
              </w:rPr>
            </w:pPr>
          </w:p>
          <w:p>
            <w:pPr>
              <w:pStyle w:val="30"/>
              <w:numPr>
                <w:ilvl w:val="2"/>
                <w:numId w:val="4"/>
              </w:numPr>
              <w:spacing w:line="377" w:lineRule="auto"/>
              <w:ind w:firstLine="0"/>
            </w:pPr>
          </w:p>
        </w:tc>
      </w:tr>
    </w:tbl>
    <w:p>
      <w:pPr>
        <w:pStyle w:val="5"/>
        <w:keepNext w:val="0"/>
        <w:keepLines w:val="0"/>
        <w:spacing w:before="240" w:after="240" w:line="240" w:lineRule="auto"/>
        <w:ind w:firstLine="0"/>
        <w:jc w:val="center"/>
        <w:rPr>
          <w:rFonts w:ascii="Times New Roman" w:hAnsi="Times New Roman" w:eastAsia="仿宋_GB2312" w:cs="Times New Roman"/>
          <w:bCs w:val="0"/>
          <w:color w:val="auto"/>
          <w:sz w:val="40"/>
          <w:szCs w:val="44"/>
        </w:rPr>
        <w:sectPr>
          <w:pgSz w:w="11906" w:h="16838"/>
          <w:pgMar w:top="1440" w:right="1800" w:bottom="1440" w:left="1800" w:header="851" w:footer="992" w:gutter="0"/>
          <w:cols w:space="425" w:num="1"/>
          <w:docGrid w:type="lines" w:linePitch="312" w:charSpace="0"/>
        </w:sectPr>
      </w:pPr>
    </w:p>
    <w:p>
      <w:pPr>
        <w:pStyle w:val="5"/>
        <w:keepNext w:val="0"/>
        <w:keepLines w:val="0"/>
        <w:spacing w:before="240" w:after="240" w:line="240" w:lineRule="auto"/>
        <w:ind w:firstLine="0"/>
        <w:jc w:val="center"/>
        <w:rPr>
          <w:rFonts w:ascii="Times New Roman" w:hAnsi="Times New Roman" w:eastAsia="仿宋_GB2312" w:cs="Times New Roman"/>
          <w:bCs w:val="0"/>
          <w:color w:val="auto"/>
          <w:sz w:val="40"/>
          <w:szCs w:val="44"/>
        </w:rPr>
      </w:pPr>
      <w:r>
        <w:rPr>
          <w:rFonts w:ascii="Times New Roman" w:hAnsi="Times New Roman" w:eastAsia="仿宋_GB2312" w:cs="Times New Roman"/>
          <w:bCs w:val="0"/>
          <w:color w:val="auto"/>
          <w:sz w:val="40"/>
          <w:szCs w:val="44"/>
        </w:rPr>
        <w:t>第二章 意向供应商须知</w:t>
      </w:r>
      <w:bookmarkEnd w:id="4"/>
      <w:bookmarkEnd w:id="5"/>
    </w:p>
    <w:tbl>
      <w:tblPr>
        <w:tblStyle w:val="2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2"/>
        <w:gridCol w:w="1357"/>
        <w:gridCol w:w="6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序号</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条款名称</w:t>
            </w:r>
          </w:p>
        </w:tc>
        <w:tc>
          <w:tcPr>
            <w:tcW w:w="366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1</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采购人</w:t>
            </w:r>
          </w:p>
        </w:tc>
        <w:tc>
          <w:tcPr>
            <w:tcW w:w="3661" w:type="pct"/>
            <w:vAlign w:val="center"/>
          </w:tcPr>
          <w:p>
            <w:pPr>
              <w:pStyle w:val="46"/>
              <w:spacing w:line="480" w:lineRule="exact"/>
              <w:ind w:firstLine="480"/>
              <w:jc w:val="center"/>
              <w:rPr>
                <w:rFonts w:ascii="仿宋" w:hAnsi="仿宋" w:cs="仿宋"/>
                <w:color w:val="auto"/>
                <w:kern w:val="0"/>
                <w:szCs w:val="24"/>
              </w:rPr>
            </w:pPr>
            <w:r>
              <w:rPr>
                <w:rFonts w:hint="eastAsia" w:ascii="仿宋" w:hAnsi="仿宋" w:cs="仿宋"/>
                <w:color w:val="auto"/>
                <w:kern w:val="0"/>
                <w:szCs w:val="24"/>
              </w:rPr>
              <w:t>广元市利州区文旅投资集团有限公司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2</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采购代理机构</w:t>
            </w:r>
          </w:p>
        </w:tc>
        <w:tc>
          <w:tcPr>
            <w:tcW w:w="366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3</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项目规模</w:t>
            </w:r>
          </w:p>
        </w:tc>
        <w:tc>
          <w:tcPr>
            <w:tcW w:w="366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暂定390万元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8"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4</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最高限价</w:t>
            </w:r>
          </w:p>
        </w:tc>
        <w:tc>
          <w:tcPr>
            <w:tcW w:w="3661" w:type="pct"/>
            <w:vAlign w:val="center"/>
          </w:tcPr>
          <w:p>
            <w:pPr>
              <w:spacing w:line="480" w:lineRule="exact"/>
              <w:ind w:firstLine="482" w:firstLineChars="200"/>
              <w:rPr>
                <w:rFonts w:ascii="仿宋" w:hAnsi="仿宋" w:cs="仿宋"/>
                <w:b/>
                <w:color w:val="auto"/>
                <w:kern w:val="0"/>
                <w:szCs w:val="24"/>
              </w:rPr>
            </w:pPr>
            <w:r>
              <w:rPr>
                <w:rFonts w:hint="eastAsia" w:ascii="仿宋" w:hAnsi="仿宋" w:cs="仿宋"/>
                <w:b/>
                <w:color w:val="auto"/>
                <w:kern w:val="0"/>
                <w:szCs w:val="24"/>
              </w:rPr>
              <w:t>本次最高限价的，计算基数暂按390万，最终以送审结算金额为最终计算基数。</w:t>
            </w:r>
          </w:p>
          <w:p>
            <w:pPr>
              <w:spacing w:line="480" w:lineRule="exact"/>
              <w:jc w:val="left"/>
              <w:rPr>
                <w:rFonts w:ascii="仿宋" w:hAnsi="仿宋" w:cs="仿宋"/>
                <w:b/>
                <w:color w:val="auto"/>
                <w:kern w:val="0"/>
                <w:szCs w:val="24"/>
              </w:rPr>
            </w:pPr>
            <w:r>
              <w:rPr>
                <w:rFonts w:hint="eastAsia" w:ascii="仿宋" w:hAnsi="仿宋" w:cs="仿宋"/>
                <w:b/>
                <w:color w:val="auto"/>
                <w:kern w:val="0"/>
                <w:szCs w:val="24"/>
              </w:rPr>
              <w:t>1.跟踪审计计算费率按《工程造价咨询服务收费标准》(川价发〔2008〕141号)第十一项“施工阶段全过程造价控制” 标准下浮20%。</w:t>
            </w:r>
          </w:p>
          <w:p>
            <w:pPr>
              <w:spacing w:line="480" w:lineRule="exact"/>
              <w:rPr>
                <w:rFonts w:ascii="仿宋" w:hAnsi="仿宋" w:cs="仿宋"/>
                <w:b/>
                <w:color w:val="auto"/>
                <w:kern w:val="0"/>
                <w:szCs w:val="24"/>
              </w:rPr>
            </w:pPr>
            <w:r>
              <w:rPr>
                <w:rFonts w:hint="eastAsia" w:ascii="仿宋" w:hAnsi="仿宋" w:cs="仿宋"/>
                <w:b/>
                <w:color w:val="auto"/>
                <w:kern w:val="0"/>
                <w:szCs w:val="24"/>
              </w:rPr>
              <w:t>2.结算内审计算费率按《工程造价咨询服务收费标准》(川价发〔2008〕141号)第九项“审核竣工结算”标准下浮20%，效益费按4%计取的标准下浮20%。</w:t>
            </w:r>
          </w:p>
          <w:p>
            <w:pPr>
              <w:spacing w:line="420" w:lineRule="exact"/>
              <w:ind w:firstLine="482" w:firstLineChars="200"/>
              <w:jc w:val="left"/>
            </w:pPr>
            <w:r>
              <w:rPr>
                <w:rFonts w:hint="eastAsia" w:ascii="仿宋" w:hAnsi="仿宋" w:cs="仿宋"/>
                <w:b/>
                <w:color w:val="auto"/>
                <w:kern w:val="0"/>
                <w:szCs w:val="24"/>
              </w:rPr>
              <w:t>超过最高限价的报价无效。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5</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包数</w:t>
            </w:r>
          </w:p>
        </w:tc>
        <w:tc>
          <w:tcPr>
            <w:tcW w:w="366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u w:val="single"/>
              </w:rPr>
              <w:t>1</w:t>
            </w:r>
            <w:r>
              <w:rPr>
                <w:rFonts w:hint="eastAsia" w:ascii="仿宋" w:hAnsi="仿宋" w:cs="仿宋"/>
                <w:color w:val="auto"/>
                <w:kern w:val="0"/>
                <w:szCs w:val="24"/>
              </w:rPr>
              <w:t>个包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6</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联合体</w:t>
            </w:r>
          </w:p>
        </w:tc>
        <w:tc>
          <w:tcPr>
            <w:tcW w:w="366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7</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竞选方式</w:t>
            </w:r>
          </w:p>
        </w:tc>
        <w:tc>
          <w:tcPr>
            <w:tcW w:w="366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报价，报价最低者成交（详见第四章）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8</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响应文件</w:t>
            </w:r>
          </w:p>
        </w:tc>
        <w:tc>
          <w:tcPr>
            <w:tcW w:w="3661" w:type="pct"/>
            <w:vAlign w:val="center"/>
          </w:tcPr>
          <w:p>
            <w:pPr>
              <w:pStyle w:val="2"/>
              <w:spacing w:after="0" w:line="480" w:lineRule="exact"/>
              <w:ind w:firstLineChars="200"/>
              <w:rPr>
                <w:kern w:val="2"/>
                <w:szCs w:val="22"/>
              </w:rPr>
            </w:pPr>
            <w:r>
              <w:rPr>
                <w:rFonts w:hint="eastAsia"/>
                <w:kern w:val="2"/>
                <w:szCs w:val="22"/>
              </w:rPr>
              <w:t>1.资格性响应及采购承诺声明；</w:t>
            </w:r>
          </w:p>
          <w:p>
            <w:pPr>
              <w:spacing w:line="480" w:lineRule="exact"/>
              <w:ind w:firstLineChars="200"/>
            </w:pPr>
            <w:r>
              <w:rPr>
                <w:rFonts w:hint="eastAsia"/>
              </w:rPr>
              <w:t>2. 企业营业执照、资质证书；</w:t>
            </w:r>
          </w:p>
          <w:p>
            <w:pPr>
              <w:pStyle w:val="2"/>
              <w:spacing w:after="0" w:line="480" w:lineRule="exact"/>
              <w:ind w:firstLineChars="200"/>
              <w:rPr>
                <w:kern w:val="2"/>
                <w:szCs w:val="22"/>
              </w:rPr>
            </w:pPr>
            <w:r>
              <w:rPr>
                <w:rFonts w:hint="eastAsia"/>
                <w:kern w:val="2"/>
                <w:szCs w:val="22"/>
              </w:rPr>
              <w:t>3.法定代表人授权书；</w:t>
            </w:r>
          </w:p>
          <w:p>
            <w:pPr>
              <w:spacing w:line="480" w:lineRule="exact"/>
              <w:ind w:firstLineChars="200"/>
            </w:pPr>
            <w:r>
              <w:rPr>
                <w:rFonts w:hint="eastAsia"/>
              </w:rPr>
              <w:t>4.法定代表人、授权委托人身份证（扫描件）；</w:t>
            </w:r>
          </w:p>
          <w:p>
            <w:pPr>
              <w:spacing w:line="480" w:lineRule="exact"/>
              <w:ind w:firstLineChars="200"/>
              <w:rPr>
                <w:rFonts w:hint="eastAsia"/>
              </w:rPr>
            </w:pPr>
            <w:r>
              <w:rPr>
                <w:rFonts w:hint="eastAsia"/>
              </w:rPr>
              <w:t>5.报价承诺函</w:t>
            </w:r>
          </w:p>
          <w:p>
            <w:pPr>
              <w:pStyle w:val="2"/>
            </w:pPr>
            <w:r>
              <w:rPr>
                <w:rFonts w:hint="eastAsia"/>
              </w:rPr>
              <w:t>6.报价函</w:t>
            </w:r>
          </w:p>
          <w:p>
            <w:pPr>
              <w:adjustRightInd w:val="0"/>
              <w:spacing w:line="420" w:lineRule="exact"/>
              <w:ind w:firstLine="0"/>
              <w:jc w:val="left"/>
            </w:pPr>
            <w:r>
              <w:rPr>
                <w:rFonts w:hint="eastAsia"/>
              </w:rPr>
              <w:t>注：1.上述响应文件按照第五章响应文件格式编制。</w:t>
            </w:r>
          </w:p>
          <w:p>
            <w:pPr>
              <w:adjustRightInd w:val="0"/>
              <w:spacing w:line="420" w:lineRule="exact"/>
              <w:ind w:firstLineChars="200"/>
              <w:jc w:val="left"/>
            </w:pPr>
            <w:r>
              <w:rPr>
                <w:rFonts w:hint="eastAsia"/>
              </w:rPr>
              <w:t>2.意向供应商不得对响应文件格式中的内容进行删减或格式顺序的调整，允许添加与本次采购相关的补充证明材料。</w:t>
            </w:r>
          </w:p>
          <w:p>
            <w:pPr>
              <w:adjustRightInd w:val="0"/>
              <w:spacing w:line="420" w:lineRule="exact"/>
              <w:ind w:firstLineChars="200"/>
              <w:jc w:val="left"/>
            </w:pPr>
            <w:r>
              <w:rPr>
                <w:rFonts w:hint="eastAsia"/>
              </w:rPr>
              <w:t>3.响应文件应对采购文件所提出的实质性要求和条件作出实质性响应，并且实质性响应的内容不得互相矛盾。</w:t>
            </w:r>
          </w:p>
          <w:p>
            <w:pPr>
              <w:pStyle w:val="3"/>
              <w:ind w:firstLine="482" w:firstLineChars="200"/>
              <w:rPr>
                <w:b/>
              </w:rPr>
            </w:pPr>
            <w:r>
              <w:rPr>
                <w:rFonts w:hint="eastAsia" w:eastAsia="仿宋"/>
                <w:b/>
                <w:kern w:val="2"/>
                <w:szCs w:val="22"/>
              </w:rPr>
              <w:t>4.本次响应文件，正本一份，需密封。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9</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采购保证金</w:t>
            </w:r>
          </w:p>
        </w:tc>
        <w:tc>
          <w:tcPr>
            <w:tcW w:w="3661" w:type="pct"/>
            <w:vAlign w:val="center"/>
          </w:tcPr>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10</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采购合同签订</w:t>
            </w:r>
          </w:p>
        </w:tc>
        <w:tc>
          <w:tcPr>
            <w:tcW w:w="3661" w:type="pct"/>
            <w:vAlign w:val="center"/>
          </w:tcPr>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1.成交供应商在收到广元市利州区文旅投资集团有限公司发出的《成交通知书》后，应在5个工作日内按要求与采购人签订采购合同。因成交供应商的原因逾期未与采购人签订采购合同的，将视为放弃成交，取消其成交资格并追究违约责任。采购人无正当理由拒绝在规定时间内签订采购合同的，成交供应商可向采购人所在地人民法院提起诉讼。</w:t>
            </w:r>
          </w:p>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2.采购人和成交供应商除应当对规定的采购合同必备条款进行约定以外，还应当对供应商提供服务的名称、数量、单价和总价、履约时间和地点、验收时间和地点、验收标准和清单、付款时间和方式以及其他实质性内容事项进行明确约定，并将这些约定内容事项所涉及合同当事人之间的权利义务在采购合同中充分体现。采购人和供应商之间约定的权利义务，不得改变采购文件的规定要求和参与申请采购项目作出的承诺范围。</w:t>
            </w:r>
          </w:p>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3.采购人不得向供应商提出任何不合理的要求作为签订合同的条件，不得与供应商私下订立背离合同实质性内容的任何协议，所签订的合同不得对采购文件作实质性修改。</w:t>
            </w:r>
          </w:p>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4.供应商因不可抗力原因不能履行采购合同或放弃成交的，采购人可以与排在成交供应商之后第一位的候选供应商签订采购合同，以此类推。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11</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采购情况</w:t>
            </w:r>
          </w:p>
        </w:tc>
        <w:tc>
          <w:tcPr>
            <w:tcW w:w="3661" w:type="pct"/>
            <w:vAlign w:val="center"/>
          </w:tcPr>
          <w:p>
            <w:pPr>
              <w:pStyle w:val="2"/>
              <w:numPr>
                <w:ilvl w:val="0"/>
                <w:numId w:val="5"/>
              </w:numPr>
              <w:spacing w:after="0" w:line="420" w:lineRule="exact"/>
              <w:ind w:firstLineChars="200"/>
              <w:rPr>
                <w:rFonts w:ascii="仿宋" w:hAnsi="仿宋" w:cs="仿宋"/>
                <w:color w:val="auto"/>
                <w:szCs w:val="24"/>
              </w:rPr>
            </w:pPr>
            <w:r>
              <w:rPr>
                <w:rFonts w:hint="eastAsia" w:ascii="仿宋" w:hAnsi="仿宋" w:cs="仿宋"/>
                <w:color w:val="auto"/>
                <w:szCs w:val="24"/>
              </w:rPr>
              <w:t>意向供应商确认为成交供应商且未违约的，广元市利州区文旅投资集团有限公司在发布采购项目《成交确认公告》后5个工作日内</w:t>
            </w:r>
          </w:p>
          <w:p>
            <w:pPr>
              <w:widowControl/>
              <w:shd w:val="clear" w:color="auto" w:fill="FFFFFF"/>
              <w:spacing w:line="420" w:lineRule="exact"/>
              <w:ind w:firstLineChars="200"/>
              <w:jc w:val="left"/>
              <w:rPr>
                <w:rFonts w:ascii="仿宋" w:hAnsi="仿宋" w:cs="仿宋"/>
                <w:color w:val="auto"/>
                <w:kern w:val="0"/>
                <w:szCs w:val="24"/>
              </w:rPr>
            </w:pPr>
            <w:r>
              <w:rPr>
                <w:rFonts w:hint="eastAsia" w:ascii="仿宋" w:hAnsi="仿宋" w:cs="仿宋"/>
                <w:color w:val="auto"/>
                <w:kern w:val="0"/>
                <w:szCs w:val="24"/>
              </w:rPr>
              <w:t>2.采购取消情形：</w:t>
            </w:r>
          </w:p>
          <w:p>
            <w:pPr>
              <w:widowControl/>
              <w:shd w:val="clear" w:color="auto" w:fill="FFFFFF"/>
              <w:spacing w:line="420" w:lineRule="exact"/>
              <w:ind w:firstLineChars="200"/>
              <w:jc w:val="left"/>
              <w:rPr>
                <w:rFonts w:ascii="仿宋" w:hAnsi="仿宋" w:cs="仿宋"/>
                <w:color w:val="auto"/>
                <w:kern w:val="0"/>
                <w:szCs w:val="24"/>
              </w:rPr>
            </w:pPr>
            <w:r>
              <w:rPr>
                <w:rFonts w:hint="eastAsia" w:ascii="仿宋" w:hAnsi="仿宋" w:cs="仿宋"/>
                <w:color w:val="auto"/>
                <w:kern w:val="0"/>
                <w:szCs w:val="24"/>
              </w:rPr>
              <w:t>(1)提供虚假材料谋取成交；</w:t>
            </w:r>
          </w:p>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(2)采取不正当手段诋毁、排挤其他供应商；</w:t>
            </w:r>
          </w:p>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(3)与采购单位、其他供应商恶意串通；</w:t>
            </w:r>
          </w:p>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(4)向采购单位、代理机构行贿或者提供其他不正当利益。</w:t>
            </w:r>
          </w:p>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(5)在采购活动中存在其他违法、违规、违纪行为。</w:t>
            </w:r>
          </w:p>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(6)在确定成交供应商以前放弃成交候选资格的；</w:t>
            </w:r>
          </w:p>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(7)成交供应商未在规定时间内领取成交通知书的；</w:t>
            </w:r>
          </w:p>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(8)由于成交供应商的原因未能按照采购文件的规定与采购人签订合同。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12</w:t>
            </w:r>
          </w:p>
        </w:tc>
        <w:tc>
          <w:tcPr>
            <w:tcW w:w="796" w:type="pct"/>
            <w:vAlign w:val="center"/>
          </w:tcPr>
          <w:p>
            <w:pPr>
              <w:pStyle w:val="49"/>
              <w:spacing w:line="360" w:lineRule="exact"/>
              <w:jc w:val="center"/>
              <w:rPr>
                <w:rFonts w:ascii="仿宋" w:hAnsi="仿宋" w:cs="仿宋"/>
              </w:rPr>
            </w:pPr>
            <w:r>
              <w:rPr>
                <w:rFonts w:hint="eastAsia" w:ascii="仿宋" w:hAnsi="仿宋" w:eastAsia="仿宋" w:cs="仿宋"/>
                <w:lang w:val="zh-CN"/>
              </w:rPr>
              <w:t>履约保证金</w:t>
            </w:r>
          </w:p>
        </w:tc>
        <w:tc>
          <w:tcPr>
            <w:tcW w:w="3661" w:type="pct"/>
            <w:vAlign w:val="center"/>
          </w:tcPr>
          <w:p>
            <w:pPr>
              <w:pStyle w:val="54"/>
              <w:spacing w:line="360" w:lineRule="exact"/>
              <w:ind w:firstLine="480"/>
              <w:rPr>
                <w:rFonts w:ascii="仿宋" w:hAnsi="仿宋" w:cs="仿宋"/>
                <w:kern w:val="0"/>
              </w:rPr>
            </w:pPr>
            <w:r>
              <w:rPr>
                <w:rFonts w:hint="eastAsia" w:ascii="仿宋" w:hAnsi="仿宋" w:eastAsia="仿宋" w:cs="仿宋"/>
                <w:kern w:val="0"/>
                <w:sz w:val="24"/>
                <w:lang w:val="zh-CN"/>
              </w:rPr>
              <w:t>本项目不涉及。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13</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付款方式</w:t>
            </w:r>
          </w:p>
        </w:tc>
        <w:tc>
          <w:tcPr>
            <w:tcW w:w="3661" w:type="pct"/>
            <w:vAlign w:val="center"/>
          </w:tcPr>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按照采购合同有关约定执行。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14</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服务标准要求</w:t>
            </w:r>
          </w:p>
        </w:tc>
        <w:tc>
          <w:tcPr>
            <w:tcW w:w="3661" w:type="pct"/>
            <w:vAlign w:val="center"/>
          </w:tcPr>
          <w:p>
            <w:pPr>
              <w:spacing w:line="420" w:lineRule="exact"/>
              <w:ind w:firstLineChars="200"/>
              <w:jc w:val="left"/>
              <w:rPr>
                <w:rFonts w:ascii="仿宋" w:hAnsi="仿宋" w:cs="仿宋"/>
                <w:color w:val="auto"/>
                <w:kern w:val="0"/>
                <w:szCs w:val="24"/>
              </w:rPr>
            </w:pPr>
            <w:r>
              <w:rPr>
                <w:rFonts w:hint="eastAsia" w:ascii="仿宋" w:hAnsi="仿宋" w:cs="仿宋"/>
                <w:color w:val="auto"/>
                <w:kern w:val="0"/>
                <w:szCs w:val="24"/>
              </w:rPr>
              <w:t>按照采购文件要求及国家相关行业技术规范和标准。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15</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合同的</w:t>
            </w:r>
          </w:p>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履行验收</w:t>
            </w:r>
          </w:p>
        </w:tc>
        <w:tc>
          <w:tcPr>
            <w:tcW w:w="3661" w:type="pct"/>
            <w:vAlign w:val="center"/>
          </w:tcPr>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成交供应商与采购人签订采购合同后，合同双方应严格执行合同条款，履行合同规定的义务，保证合同的顺利完成。在合同履行过程中，如发生合同纠纷，合同双方应按照《中华人民共和国民法典》的有关规定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16</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采购文件</w:t>
            </w:r>
          </w:p>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澄清和修改</w:t>
            </w:r>
          </w:p>
        </w:tc>
        <w:tc>
          <w:tcPr>
            <w:tcW w:w="3661" w:type="pct"/>
            <w:vAlign w:val="center"/>
          </w:tcPr>
          <w:p>
            <w:pPr>
              <w:spacing w:line="420" w:lineRule="exact"/>
              <w:ind w:firstLineChars="200"/>
              <w:jc w:val="left"/>
              <w:rPr>
                <w:rFonts w:ascii="仿宋" w:hAnsi="仿宋" w:cs="仿宋"/>
                <w:color w:val="auto"/>
                <w:kern w:val="0"/>
                <w:szCs w:val="24"/>
              </w:rPr>
            </w:pPr>
            <w:r>
              <w:rPr>
                <w:rFonts w:hint="eastAsia" w:ascii="仿宋" w:hAnsi="仿宋" w:cs="仿宋"/>
                <w:color w:val="auto"/>
                <w:kern w:val="0"/>
                <w:szCs w:val="24"/>
              </w:rPr>
              <w:t>1.在报名截止时间前，采购人可以对采购文件进行澄清或者修改。</w:t>
            </w:r>
          </w:p>
          <w:p>
            <w:pPr>
              <w:spacing w:line="420" w:lineRule="exact"/>
              <w:ind w:firstLineChars="200"/>
              <w:jc w:val="left"/>
              <w:rPr>
                <w:rFonts w:ascii="仿宋" w:hAnsi="仿宋" w:cs="仿宋"/>
                <w:color w:val="auto"/>
                <w:kern w:val="0"/>
                <w:szCs w:val="24"/>
              </w:rPr>
            </w:pPr>
            <w:r>
              <w:rPr>
                <w:rFonts w:hint="eastAsia" w:ascii="仿宋" w:hAnsi="仿宋" w:cs="仿宋"/>
                <w:color w:val="auto"/>
                <w:kern w:val="0"/>
                <w:szCs w:val="24"/>
              </w:rPr>
              <w:t>2.供应商在收到采购文件后，应仔细检查文件的所有内容，如有质疑或文件内容缺失应及时向广元市文旅投资集团有限公司书面提出，否则，由此引起的损失由供应商自负。</w:t>
            </w:r>
          </w:p>
          <w:p>
            <w:pPr>
              <w:spacing w:line="420" w:lineRule="exact"/>
              <w:ind w:firstLineChars="200"/>
              <w:jc w:val="left"/>
              <w:rPr>
                <w:rFonts w:ascii="仿宋" w:hAnsi="仿宋" w:cs="仿宋"/>
                <w:color w:val="auto"/>
                <w:kern w:val="0"/>
                <w:szCs w:val="24"/>
              </w:rPr>
            </w:pPr>
            <w:r>
              <w:rPr>
                <w:rFonts w:hint="eastAsia" w:ascii="仿宋" w:hAnsi="仿宋" w:cs="仿宋"/>
                <w:color w:val="auto"/>
                <w:kern w:val="0"/>
                <w:szCs w:val="24"/>
              </w:rPr>
              <w:t>采购人如需对采购文件主动澄清或修改，将在响应文件提交截止时间的3个工作日前在采购公告发布的原渠道发布更正公告，不足3个工作日的，响应文件提交截止时间顺延至3个工作日。</w:t>
            </w:r>
          </w:p>
          <w:p>
            <w:pPr>
              <w:spacing w:line="420" w:lineRule="exact"/>
              <w:ind w:firstLineChars="200"/>
              <w:jc w:val="left"/>
              <w:rPr>
                <w:rFonts w:ascii="仿宋" w:hAnsi="仿宋" w:cs="仿宋"/>
                <w:color w:val="auto"/>
                <w:kern w:val="0"/>
                <w:szCs w:val="24"/>
              </w:rPr>
            </w:pPr>
            <w:r>
              <w:rPr>
                <w:rFonts w:hint="eastAsia" w:ascii="仿宋" w:hAnsi="仿宋" w:cs="仿宋"/>
                <w:color w:val="auto"/>
                <w:kern w:val="0"/>
                <w:szCs w:val="24"/>
              </w:rPr>
              <w:t>所有获取采购文件的供应商须自行到广元市文旅投资集团有限公司获取更正内容，不再另行通知，意向供应商未获取变更文件所造成的后果须自负。该澄清或者修改的内容为采购文件的组成部分。</w:t>
            </w:r>
          </w:p>
          <w:p>
            <w:pPr>
              <w:spacing w:line="420" w:lineRule="exact"/>
              <w:ind w:firstLineChars="200"/>
              <w:jc w:val="left"/>
              <w:rPr>
                <w:rFonts w:ascii="仿宋" w:hAnsi="仿宋" w:cs="仿宋"/>
                <w:color w:val="auto"/>
                <w:kern w:val="0"/>
                <w:szCs w:val="24"/>
              </w:rPr>
            </w:pPr>
            <w:r>
              <w:rPr>
                <w:rFonts w:hint="eastAsia" w:ascii="仿宋" w:hAnsi="仿宋" w:cs="仿宋"/>
                <w:bCs/>
                <w:color w:val="auto"/>
                <w:kern w:val="0"/>
                <w:szCs w:val="24"/>
              </w:rPr>
              <w:t>3.意向</w:t>
            </w:r>
            <w:r>
              <w:rPr>
                <w:rFonts w:hint="eastAsia" w:ascii="仿宋" w:hAnsi="仿宋" w:cs="仿宋"/>
                <w:color w:val="auto"/>
                <w:kern w:val="0"/>
                <w:szCs w:val="24"/>
              </w:rPr>
              <w:t>供应商如有疑问，应在在提交响应文件截止时间的3个工作日前以书面形式递交采购人；采购人将在提交响应文件截止时间的1个工作日前</w:t>
            </w:r>
            <w:r>
              <w:rPr>
                <w:rFonts w:hint="eastAsia" w:ascii="仿宋" w:hAnsi="仿宋" w:cs="仿宋"/>
                <w:bCs/>
                <w:color w:val="auto"/>
                <w:kern w:val="0"/>
                <w:szCs w:val="24"/>
              </w:rPr>
              <w:t>对意向供应商的疑问以书面形式进行澄清，未予澄清的内容采购人不予任何解释，按本文件执行。</w:t>
            </w:r>
          </w:p>
          <w:p>
            <w:pPr>
              <w:spacing w:line="420" w:lineRule="exact"/>
              <w:ind w:firstLineChars="200"/>
              <w:jc w:val="left"/>
              <w:rPr>
                <w:rFonts w:ascii="仿宋" w:hAnsi="仿宋" w:cs="仿宋"/>
                <w:color w:val="auto"/>
                <w:kern w:val="0"/>
                <w:szCs w:val="24"/>
              </w:rPr>
            </w:pPr>
            <w:r>
              <w:rPr>
                <w:rFonts w:hint="eastAsia" w:ascii="仿宋" w:hAnsi="仿宋" w:cs="仿宋"/>
                <w:color w:val="auto"/>
                <w:kern w:val="0"/>
                <w:szCs w:val="24"/>
              </w:rPr>
              <w:t>4.响应文件提交截止时间到期后，采购人均认为</w:t>
            </w:r>
            <w:r>
              <w:rPr>
                <w:rStyle w:val="27"/>
                <w:rFonts w:hint="eastAsia" w:ascii="仿宋" w:hAnsi="仿宋" w:cs="仿宋"/>
                <w:color w:val="auto"/>
                <w:spacing w:val="6"/>
                <w:kern w:val="48"/>
                <w:szCs w:val="24"/>
                <w:u w:val="none"/>
              </w:rPr>
              <w:t>意向供应商</w:t>
            </w:r>
            <w:r>
              <w:rPr>
                <w:rFonts w:hint="eastAsia" w:ascii="仿宋" w:hAnsi="仿宋" w:cs="仿宋"/>
                <w:color w:val="auto"/>
                <w:kern w:val="0"/>
                <w:szCs w:val="24"/>
              </w:rPr>
              <w:t>对采购文件所有内容已不存在疑意并已充分理解，其报名文件已充分考虑到本次采购活动所存在的各种风险，当采购文件、补遗书内容相互矛盾时，以最后发出的补遗书为准。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17</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其他事项</w:t>
            </w:r>
          </w:p>
        </w:tc>
        <w:tc>
          <w:tcPr>
            <w:tcW w:w="3661" w:type="pct"/>
            <w:vAlign w:val="center"/>
          </w:tcPr>
          <w:p>
            <w:pPr>
              <w:adjustRightInd w:val="0"/>
              <w:snapToGrid w:val="0"/>
              <w:spacing w:line="420" w:lineRule="exact"/>
              <w:ind w:firstLineChars="200"/>
              <w:rPr>
                <w:rFonts w:ascii="仿宋" w:hAnsi="仿宋" w:cs="仿宋"/>
                <w:color w:val="auto"/>
                <w:kern w:val="0"/>
                <w:szCs w:val="24"/>
              </w:rPr>
            </w:pPr>
            <w:r>
              <w:rPr>
                <w:rFonts w:hint="eastAsia" w:ascii="仿宋" w:hAnsi="仿宋" w:cs="仿宋"/>
                <w:color w:val="auto"/>
                <w:kern w:val="0"/>
                <w:szCs w:val="24"/>
              </w:rPr>
              <w:t>1.本项目不允许转包和分包。</w:t>
            </w:r>
          </w:p>
          <w:p>
            <w:pPr>
              <w:adjustRightInd w:val="0"/>
              <w:snapToGrid w:val="0"/>
              <w:spacing w:line="420" w:lineRule="exact"/>
              <w:ind w:firstLineChars="200"/>
              <w:rPr>
                <w:rFonts w:ascii="仿宋" w:hAnsi="仿宋" w:cs="仿宋"/>
                <w:bCs/>
                <w:color w:val="auto"/>
                <w:kern w:val="0"/>
                <w:szCs w:val="24"/>
              </w:rPr>
            </w:pPr>
            <w:r>
              <w:rPr>
                <w:rFonts w:hint="eastAsia" w:ascii="仿宋" w:hAnsi="仿宋" w:cs="仿宋"/>
                <w:bCs/>
                <w:color w:val="auto"/>
                <w:kern w:val="0"/>
                <w:szCs w:val="24"/>
              </w:rPr>
              <w:t>2.意向供应商应对本采购文件中所有条款充分理解并完全响应。</w:t>
            </w:r>
          </w:p>
          <w:p>
            <w:pPr>
              <w:adjustRightInd w:val="0"/>
              <w:snapToGrid w:val="0"/>
              <w:spacing w:line="420" w:lineRule="exact"/>
              <w:ind w:firstLineChars="200"/>
              <w:rPr>
                <w:rFonts w:ascii="仿宋" w:hAnsi="仿宋" w:cs="仿宋"/>
                <w:bCs/>
                <w:color w:val="auto"/>
                <w:kern w:val="0"/>
                <w:szCs w:val="24"/>
              </w:rPr>
            </w:pPr>
            <w:r>
              <w:rPr>
                <w:rFonts w:hint="eastAsia" w:ascii="仿宋" w:hAnsi="仿宋" w:cs="仿宋"/>
                <w:bCs/>
                <w:color w:val="auto"/>
                <w:kern w:val="0"/>
                <w:szCs w:val="24"/>
              </w:rPr>
              <w:t>3.在采购活动中若发现意向供应商围选、串选、挂靠嫌疑，采购人有权暂停或取消本次</w:t>
            </w:r>
            <w:r>
              <w:rPr>
                <w:rFonts w:hint="eastAsia" w:ascii="仿宋" w:hAnsi="仿宋" w:cs="仿宋"/>
                <w:color w:val="auto"/>
                <w:kern w:val="0"/>
                <w:szCs w:val="24"/>
              </w:rPr>
              <w:t>采购</w:t>
            </w:r>
            <w:r>
              <w:rPr>
                <w:rFonts w:hint="eastAsia" w:ascii="仿宋" w:hAnsi="仿宋" w:cs="仿宋"/>
                <w:bCs/>
                <w:color w:val="auto"/>
                <w:kern w:val="0"/>
                <w:szCs w:val="24"/>
              </w:rPr>
              <w:t>活动，同时报送相关部门，严格按照法律程序处理，采购人有权采取其他方式进行采购。</w:t>
            </w:r>
          </w:p>
          <w:p>
            <w:pPr>
              <w:adjustRightInd w:val="0"/>
              <w:snapToGrid w:val="0"/>
              <w:spacing w:line="420" w:lineRule="exact"/>
              <w:ind w:firstLineChars="200"/>
              <w:rPr>
                <w:rFonts w:ascii="仿宋" w:hAnsi="仿宋" w:cs="仿宋"/>
                <w:bCs/>
                <w:color w:val="auto"/>
                <w:kern w:val="0"/>
                <w:szCs w:val="24"/>
              </w:rPr>
            </w:pPr>
            <w:r>
              <w:rPr>
                <w:rFonts w:hint="eastAsia" w:ascii="仿宋" w:hAnsi="仿宋" w:cs="仿宋"/>
                <w:bCs/>
                <w:color w:val="auto"/>
                <w:kern w:val="0"/>
                <w:szCs w:val="24"/>
              </w:rPr>
              <w:t>4.在合同执行过程中经采购人查实成交供应商有围选、串选、挂靠行为的，采购人将单方面终止合同，造成的相关损失由成交供应商承担。</w:t>
            </w:r>
          </w:p>
          <w:p>
            <w:pPr>
              <w:adjustRightInd w:val="0"/>
              <w:snapToGrid w:val="0"/>
              <w:spacing w:line="420" w:lineRule="exact"/>
              <w:ind w:firstLineChars="200"/>
              <w:rPr>
                <w:rFonts w:ascii="仿宋" w:hAnsi="仿宋" w:cs="仿宋"/>
                <w:color w:val="auto"/>
                <w:kern w:val="0"/>
                <w:szCs w:val="24"/>
              </w:rPr>
            </w:pPr>
            <w:r>
              <w:rPr>
                <w:rFonts w:hint="eastAsia" w:ascii="仿宋" w:hAnsi="仿宋" w:cs="仿宋"/>
                <w:color w:val="auto"/>
                <w:kern w:val="0"/>
                <w:szCs w:val="24"/>
              </w:rPr>
              <w:t>5.</w:t>
            </w:r>
            <w:r>
              <w:rPr>
                <w:rFonts w:hint="eastAsia" w:ascii="仿宋" w:hAnsi="仿宋" w:cs="仿宋"/>
                <w:bCs/>
                <w:color w:val="auto"/>
                <w:kern w:val="0"/>
                <w:szCs w:val="24"/>
              </w:rPr>
              <w:t>成交供应商</w:t>
            </w:r>
            <w:r>
              <w:rPr>
                <w:rFonts w:hint="eastAsia" w:ascii="仿宋" w:hAnsi="仿宋" w:cs="仿宋"/>
                <w:color w:val="auto"/>
                <w:kern w:val="0"/>
                <w:szCs w:val="24"/>
              </w:rPr>
              <w:t>履约后因材料出现重大质量问题或成交供应商的其它原因导致采购人单方解除合同的，该成交供应商在三年内不能参与采购人的采购活动。</w:t>
            </w:r>
          </w:p>
          <w:p>
            <w:pPr>
              <w:adjustRightInd w:val="0"/>
              <w:snapToGrid w:val="0"/>
              <w:spacing w:line="420" w:lineRule="exact"/>
              <w:ind w:firstLineChars="200"/>
              <w:rPr>
                <w:rFonts w:ascii="仿宋" w:hAnsi="仿宋" w:cs="仿宋"/>
                <w:bCs/>
                <w:color w:val="auto"/>
                <w:kern w:val="0"/>
                <w:szCs w:val="24"/>
              </w:rPr>
            </w:pPr>
            <w:r>
              <w:rPr>
                <w:rFonts w:hint="eastAsia" w:ascii="仿宋" w:hAnsi="仿宋" w:cs="仿宋"/>
                <w:color w:val="auto"/>
                <w:kern w:val="0"/>
                <w:szCs w:val="24"/>
              </w:rPr>
              <w:t>6.本次采购活动自发布公告至竞选结束由采购人监督人员进行全程监督。</w:t>
            </w:r>
          </w:p>
        </w:tc>
      </w:tr>
    </w:tbl>
    <w:p>
      <w:pPr>
        <w:pStyle w:val="4"/>
        <w:ind w:firstLine="0"/>
        <w:rPr>
          <w:rFonts w:ascii="Times New Roman" w:hAnsi="Times New Roman" w:eastAsia="仿宋" w:cs="Times New Roman"/>
          <w:color w:val="auto"/>
          <w:sz w:val="40"/>
        </w:rPr>
        <w:sectPr>
          <w:pgSz w:w="11906" w:h="16838"/>
          <w:pgMar w:top="1440" w:right="1800" w:bottom="1440" w:left="1800" w:header="851" w:footer="992" w:gutter="0"/>
          <w:cols w:space="425" w:num="1"/>
          <w:docGrid w:type="lines" w:linePitch="312" w:charSpace="0"/>
        </w:sectPr>
      </w:pPr>
      <w:bookmarkStart w:id="6" w:name="_Toc15659"/>
      <w:bookmarkStart w:id="7" w:name="_Toc3702"/>
    </w:p>
    <w:p>
      <w:pPr>
        <w:pStyle w:val="5"/>
        <w:keepNext w:val="0"/>
        <w:keepLines w:val="0"/>
        <w:spacing w:before="240" w:after="240" w:line="240" w:lineRule="auto"/>
        <w:ind w:firstLine="0"/>
        <w:jc w:val="center"/>
        <w:rPr>
          <w:rFonts w:ascii="Times New Roman" w:hAnsi="Times New Roman" w:eastAsia="仿宋_GB2312" w:cs="Times New Roman"/>
          <w:bCs w:val="0"/>
          <w:color w:val="auto"/>
          <w:sz w:val="40"/>
          <w:szCs w:val="44"/>
        </w:rPr>
      </w:pPr>
      <w:bookmarkStart w:id="8" w:name="_Toc2562"/>
      <w:r>
        <w:rPr>
          <w:rFonts w:ascii="Times New Roman" w:hAnsi="Times New Roman" w:eastAsia="仿宋_GB2312" w:cs="Times New Roman"/>
          <w:bCs w:val="0"/>
          <w:color w:val="auto"/>
          <w:sz w:val="40"/>
          <w:szCs w:val="44"/>
        </w:rPr>
        <w:t>第三章 采购项目详细要求</w:t>
      </w:r>
      <w:bookmarkEnd w:id="6"/>
      <w:bookmarkEnd w:id="8"/>
    </w:p>
    <w:p>
      <w:pPr>
        <w:spacing w:line="480" w:lineRule="exact"/>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一、项目概况</w:t>
      </w:r>
    </w:p>
    <w:p>
      <w:pPr>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（一）项目名称：紫兰湖沿线增彩添香项目跟踪审计及结算内审服务采购。</w:t>
      </w:r>
    </w:p>
    <w:p>
      <w:pPr>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（二）项目概述：</w:t>
      </w:r>
    </w:p>
    <w:p>
      <w:pPr>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紫兰湖沿线增彩添香项目。</w:t>
      </w:r>
    </w:p>
    <w:p>
      <w:pPr>
        <w:pStyle w:val="3"/>
        <w:numPr>
          <w:ilvl w:val="0"/>
          <w:numId w:val="6"/>
        </w:numPr>
        <w:spacing w:after="0" w:line="480" w:lineRule="exact"/>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要求</w:t>
      </w:r>
    </w:p>
    <w:p>
      <w:pPr>
        <w:pStyle w:val="3"/>
        <w:spacing w:after="0" w:line="480" w:lineRule="exact"/>
        <w:ind w:firstLine="560" w:firstLineChars="200"/>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1.在约定时间内完成任务，不得将受项目分包、转让、转包。</w:t>
      </w:r>
    </w:p>
    <w:p>
      <w:pPr>
        <w:pStyle w:val="3"/>
        <w:spacing w:after="0" w:line="480" w:lineRule="exact"/>
        <w:ind w:firstLine="560" w:firstLineChars="200"/>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2.跟踪审计工作属于过程跟踪审计，需派驻一名专业人员现场驻点。</w:t>
      </w:r>
    </w:p>
    <w:p>
      <w:pPr>
        <w:pStyle w:val="3"/>
        <w:spacing w:after="0" w:line="480" w:lineRule="exact"/>
        <w:ind w:firstLine="560" w:firstLineChars="200"/>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3.跟踪审计出具周报，处理设计变更经济分析，预付款、进度款、变更款、索赔款审核。材料、设备价咨询等工作</w:t>
      </w:r>
    </w:p>
    <w:p>
      <w:pPr>
        <w:pStyle w:val="3"/>
        <w:spacing w:after="0" w:line="480" w:lineRule="exact"/>
        <w:ind w:firstLine="560" w:firstLineChars="200"/>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4.结算内审出具审核报告。且成交供应商在出具成果文件后，在接受复核审计时（正式审计），误差率有以下规定：</w:t>
      </w:r>
    </w:p>
    <w:p>
      <w:pPr>
        <w:pStyle w:val="3"/>
        <w:spacing w:after="0" w:line="480" w:lineRule="exact"/>
        <w:ind w:firstLine="560" w:firstLineChars="200"/>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（1）若审计误差超过 5 %未超过10%（含5%），则采购人有权扣除成交供应商被复核项目审计服务费的10%作为补偿金；</w:t>
      </w:r>
    </w:p>
    <w:p>
      <w:pPr>
        <w:pStyle w:val="3"/>
        <w:spacing w:after="0" w:line="480" w:lineRule="exact"/>
        <w:ind w:firstLine="560" w:firstLineChars="200"/>
        <w:rPr>
          <w:rFonts w:ascii="仿宋_GB2312" w:hAnsi="Calibri" w:eastAsia="仿宋_GB2312" w:cs="Times New Roman"/>
          <w:bCs/>
          <w:color w:val="auto"/>
          <w:kern w:val="2"/>
          <w:sz w:val="28"/>
          <w:szCs w:val="28"/>
          <w:lang w:val="zh-CN"/>
        </w:rPr>
      </w:pPr>
      <w:r>
        <w:rPr>
          <w:rFonts w:hint="eastAsia" w:ascii="仿宋_GB2312" w:hAnsi="仿宋_GB2312" w:eastAsia="仿宋_GB2312" w:cs="仿宋_GB2312"/>
          <w:color w:val="auto"/>
          <w:kern w:val="2"/>
          <w:sz w:val="28"/>
          <w:szCs w:val="28"/>
        </w:rPr>
        <w:t>（2）若审计误差超过 10 %未超过15%（含10%），则采购人有权扣除成交供应商被复核项目</w:t>
      </w:r>
      <w:r>
        <w:rPr>
          <w:rFonts w:hint="eastAsia" w:ascii="仿宋_GB2312" w:hAnsi="Calibri" w:eastAsia="仿宋_GB2312" w:cs="Times New Roman"/>
          <w:bCs/>
          <w:color w:val="auto"/>
          <w:kern w:val="2"/>
          <w:sz w:val="28"/>
          <w:szCs w:val="28"/>
          <w:lang w:val="zh-CN"/>
        </w:rPr>
        <w:t>审计服务费的15%作为补偿金；</w:t>
      </w:r>
    </w:p>
    <w:p>
      <w:pPr>
        <w:pStyle w:val="2"/>
        <w:spacing w:after="0" w:line="480" w:lineRule="exact"/>
        <w:rPr>
          <w:rFonts w:ascii="仿宋_GB2312" w:hAnsi="Calibri" w:eastAsia="仿宋_GB2312" w:cs="Times New Roman"/>
          <w:bCs/>
          <w:color w:val="auto"/>
          <w:kern w:val="2"/>
          <w:sz w:val="28"/>
          <w:szCs w:val="28"/>
          <w:lang w:val="zh-CN"/>
        </w:rPr>
      </w:pPr>
      <w:r>
        <w:rPr>
          <w:rFonts w:hint="eastAsia" w:ascii="仿宋_GB2312" w:hAnsi="仿宋_GB2312" w:eastAsia="仿宋_GB2312" w:cs="仿宋_GB2312"/>
          <w:color w:val="auto"/>
          <w:kern w:val="2"/>
          <w:sz w:val="28"/>
          <w:szCs w:val="28"/>
        </w:rPr>
        <w:t>（3）</w:t>
      </w:r>
      <w:r>
        <w:rPr>
          <w:rFonts w:hint="eastAsia" w:ascii="仿宋_GB2312" w:hAnsi="Calibri" w:eastAsia="仿宋_GB2312" w:cs="Times New Roman"/>
          <w:bCs/>
          <w:color w:val="auto"/>
          <w:kern w:val="2"/>
          <w:sz w:val="28"/>
          <w:szCs w:val="28"/>
          <w:lang w:val="zh-CN"/>
        </w:rPr>
        <w:t>若审计误差超过 15 %未超过20%（含15%），则采购人有权扣除成交供应商被复核项目审计服务费的30%作为补偿金；</w:t>
      </w:r>
    </w:p>
    <w:p>
      <w:pPr>
        <w:pStyle w:val="2"/>
        <w:spacing w:after="0" w:line="480" w:lineRule="exact"/>
        <w:rPr>
          <w:rFonts w:ascii="仿宋_GB2312" w:hAnsi="Calibri" w:eastAsia="仿宋_GB2312" w:cs="Times New Roman"/>
          <w:bCs/>
          <w:color w:val="auto"/>
          <w:kern w:val="2"/>
          <w:sz w:val="28"/>
          <w:szCs w:val="28"/>
          <w:lang w:val="zh-CN"/>
        </w:rPr>
      </w:pPr>
      <w:r>
        <w:rPr>
          <w:rFonts w:hint="eastAsia" w:ascii="仿宋_GB2312" w:hAnsi="仿宋_GB2312" w:eastAsia="仿宋_GB2312" w:cs="仿宋_GB2312"/>
          <w:color w:val="auto"/>
          <w:kern w:val="2"/>
          <w:sz w:val="28"/>
          <w:szCs w:val="28"/>
        </w:rPr>
        <w:t>（4）</w:t>
      </w:r>
      <w:r>
        <w:rPr>
          <w:rFonts w:hint="eastAsia" w:ascii="仿宋_GB2312" w:hAnsi="Calibri" w:eastAsia="仿宋_GB2312" w:cs="Times New Roman"/>
          <w:bCs/>
          <w:color w:val="auto"/>
          <w:kern w:val="2"/>
          <w:sz w:val="28"/>
          <w:szCs w:val="28"/>
          <w:lang w:val="zh-CN"/>
        </w:rPr>
        <w:t>若审计误差超过 20 %（含20%），则采购人有权扣除成交供应商被复核项目审计服务费的100%作为补偿金。</w:t>
      </w:r>
    </w:p>
    <w:p>
      <w:pPr>
        <w:pStyle w:val="3"/>
        <w:spacing w:after="0" w:line="480" w:lineRule="exact"/>
        <w:ind w:firstLine="562" w:firstLineChars="200"/>
        <w:rPr>
          <w:rFonts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四、报价要求</w:t>
      </w:r>
    </w:p>
    <w:p>
      <w:pPr>
        <w:pStyle w:val="3"/>
        <w:spacing w:after="0" w:line="480" w:lineRule="exact"/>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1.本次供应商所报</w:t>
      </w:r>
      <w:r>
        <w:rPr>
          <w:rFonts w:hint="eastAsia" w:ascii="仿宋_GB2312" w:hAnsi="仿宋_GB2312" w:eastAsia="仿宋_GB2312" w:cs="仿宋_GB2312"/>
          <w:b/>
          <w:bCs/>
          <w:kern w:val="2"/>
          <w:sz w:val="28"/>
          <w:szCs w:val="28"/>
          <w:u w:val="single"/>
        </w:rPr>
        <w:t>下浮比例</w:t>
      </w:r>
      <w:r>
        <w:rPr>
          <w:rFonts w:hint="eastAsia" w:ascii="仿宋_GB2312" w:hAnsi="仿宋_GB2312" w:eastAsia="仿宋_GB2312" w:cs="仿宋_GB2312"/>
          <w:kern w:val="2"/>
          <w:sz w:val="28"/>
          <w:szCs w:val="28"/>
        </w:rPr>
        <w:t>为最高限价的基础上下浮。</w:t>
      </w:r>
    </w:p>
    <w:p>
      <w:pPr>
        <w:pStyle w:val="3"/>
        <w:spacing w:after="0" w:line="480" w:lineRule="exact"/>
        <w:ind w:firstLine="562" w:firstLineChars="200"/>
        <w:rPr>
          <w:rFonts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2.成交供应商竞得标的成交价=最高限价*</w:t>
      </w:r>
      <w:r>
        <w:rPr>
          <w:rFonts w:hint="eastAsia" w:ascii="仿宋_GB2312" w:hAnsi="仿宋_GB2312" w:eastAsia="仿宋_GB2312" w:cs="仿宋_GB2312"/>
          <w:b/>
          <w:bCs/>
          <w:kern w:val="2"/>
          <w:sz w:val="28"/>
          <w:szCs w:val="28"/>
          <w:u w:val="single"/>
        </w:rPr>
        <w:t>（1-报价下浮比例）</w:t>
      </w:r>
      <w:r>
        <w:rPr>
          <w:rFonts w:hint="eastAsia" w:ascii="仿宋_GB2312" w:hAnsi="仿宋_GB2312" w:eastAsia="仿宋_GB2312" w:cs="仿宋_GB2312"/>
          <w:b/>
          <w:bCs/>
          <w:kern w:val="2"/>
          <w:sz w:val="28"/>
          <w:szCs w:val="28"/>
        </w:rPr>
        <w:t>。</w:t>
      </w:r>
    </w:p>
    <w:p>
      <w:pPr>
        <w:spacing w:line="480" w:lineRule="exact"/>
        <w:ind w:firstLine="562" w:firstLineChars="200"/>
        <w:rPr>
          <w:rFonts w:ascii="仿宋_GB2312" w:hAnsi="仿宋_GB2312" w:eastAsia="仿宋_GB2312" w:cs="仿宋_GB2312"/>
          <w:color w:val="auto"/>
          <w:sz w:val="28"/>
          <w:szCs w:val="28"/>
        </w:rPr>
        <w:sectPr>
          <w:pgSz w:w="11906" w:h="16838"/>
          <w:pgMar w:top="1440" w:right="1803" w:bottom="1440" w:left="1803" w:header="851" w:footer="992" w:gutter="0"/>
          <w:cols w:space="0" w:num="1"/>
          <w:docGrid w:type="lines" w:linePitch="332" w:charSpace="0"/>
        </w:sectPr>
      </w:pPr>
      <w:r>
        <w:rPr>
          <w:rFonts w:hint="eastAsia" w:ascii="仿宋_GB2312" w:hAnsi="仿宋_GB2312" w:eastAsia="仿宋_GB2312" w:cs="仿宋_GB2312"/>
          <w:b/>
          <w:bCs/>
          <w:color w:val="auto"/>
          <w:sz w:val="28"/>
          <w:szCs w:val="28"/>
        </w:rPr>
        <w:t>五、其他未尽事宜具体要求详见第六章合同约定。</w:t>
      </w:r>
      <w:bookmarkEnd w:id="7"/>
    </w:p>
    <w:p>
      <w:pPr>
        <w:pStyle w:val="5"/>
        <w:keepNext w:val="0"/>
        <w:keepLines w:val="0"/>
        <w:spacing w:before="240" w:after="240" w:line="240" w:lineRule="auto"/>
        <w:ind w:firstLine="1205" w:firstLineChars="300"/>
        <w:jc w:val="center"/>
        <w:rPr>
          <w:rFonts w:ascii="Times New Roman" w:hAnsi="Times New Roman" w:eastAsia="仿宋_GB2312" w:cs="Times New Roman"/>
          <w:bCs w:val="0"/>
          <w:color w:val="auto"/>
          <w:sz w:val="40"/>
          <w:szCs w:val="44"/>
        </w:rPr>
      </w:pPr>
      <w:bookmarkStart w:id="9" w:name="_Toc28166"/>
      <w:bookmarkStart w:id="10" w:name="_Toc13373"/>
      <w:r>
        <w:rPr>
          <w:rFonts w:ascii="Times New Roman" w:hAnsi="Times New Roman" w:eastAsia="仿宋_GB2312" w:cs="Times New Roman"/>
          <w:bCs w:val="0"/>
          <w:color w:val="auto"/>
          <w:sz w:val="40"/>
          <w:szCs w:val="44"/>
        </w:rPr>
        <w:t>第</w:t>
      </w:r>
      <w:r>
        <w:rPr>
          <w:rFonts w:hint="eastAsia" w:ascii="Times New Roman" w:hAnsi="Times New Roman" w:eastAsia="仿宋_GB2312" w:cs="Times New Roman"/>
          <w:bCs w:val="0"/>
          <w:color w:val="auto"/>
          <w:sz w:val="40"/>
          <w:szCs w:val="44"/>
        </w:rPr>
        <w:t>四</w:t>
      </w:r>
      <w:r>
        <w:rPr>
          <w:rFonts w:ascii="Times New Roman" w:hAnsi="Times New Roman" w:eastAsia="仿宋_GB2312" w:cs="Times New Roman"/>
          <w:bCs w:val="0"/>
          <w:color w:val="auto"/>
          <w:sz w:val="40"/>
          <w:szCs w:val="44"/>
        </w:rPr>
        <w:t>章 报价及采购成交</w:t>
      </w:r>
      <w:bookmarkEnd w:id="9"/>
      <w:bookmarkEnd w:id="10"/>
    </w:p>
    <w:p>
      <w:pPr>
        <w:spacing w:line="480" w:lineRule="exact"/>
        <w:ind w:firstLine="562" w:firstLineChars="200"/>
        <w:jc w:val="lef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xml:space="preserve"> 一、报价</w:t>
      </w:r>
    </w:p>
    <w:p>
      <w:pPr>
        <w:spacing w:line="48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经资格审核合格意向供应商，可在参与报价，报价最低者成为成交供应商。</w:t>
      </w:r>
    </w:p>
    <w:p>
      <w:pPr>
        <w:spacing w:line="480" w:lineRule="exact"/>
        <w:ind w:firstLine="562" w:firstLineChars="200"/>
        <w:jc w:val="lef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xml:space="preserve"> 二、报价的构成</w:t>
      </w:r>
    </w:p>
    <w:p>
      <w:pPr>
        <w:spacing w:line="48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本次报价包括与本采购项目有关的其他费用（包括交通费、食宿费等）的总和。  </w:t>
      </w:r>
    </w:p>
    <w:p>
      <w:pPr>
        <w:spacing w:line="480" w:lineRule="exact"/>
        <w:ind w:firstLine="562" w:firstLineChars="200"/>
        <w:jc w:val="lef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xml:space="preserve"> 三、采购成交</w:t>
      </w:r>
    </w:p>
    <w:p>
      <w:pPr>
        <w:spacing w:line="480"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kern w:val="0"/>
          <w:sz w:val="28"/>
          <w:szCs w:val="28"/>
        </w:rPr>
        <w:t>如在公告期内仅征集到1家符合要求的意向供应商，进行循环挂牌。若循环挂牌，按3个工作日为一个周期进行循环，最多2个周期。</w:t>
      </w:r>
    </w:p>
    <w:p>
      <w:pPr>
        <w:spacing w:line="48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如在公告期内征集到3家以上（含3家）符合要求的意向供应商，则其中报价最低者确定为成交供应商。</w:t>
      </w:r>
    </w:p>
    <w:p>
      <w:pPr>
        <w:spacing w:line="48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（二）确定成交供应商后，由广元市利州区文旅投资集团有限公司发布成交公示，公示时间为3个工作日。</w:t>
      </w:r>
    </w:p>
    <w:p>
      <w:pPr>
        <w:spacing w:line="48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（三）成交供应商应当在成交公示结束次日到领取《成交通知书》次日起5个工作日内与采购人签订</w:t>
      </w:r>
      <w:r>
        <w:rPr>
          <w:rFonts w:hint="eastAsia" w:ascii="仿宋_GB2312" w:hAnsi="仿宋_GB2312" w:eastAsia="仿宋_GB2312" w:cs="仿宋_GB2312"/>
          <w:color w:val="auto"/>
          <w:kern w:val="0"/>
          <w:sz w:val="28"/>
          <w:szCs w:val="28"/>
        </w:rPr>
        <w:t>采购合同</w:t>
      </w:r>
      <w:r>
        <w:rPr>
          <w:rFonts w:hint="eastAsia" w:ascii="仿宋_GB2312" w:hAnsi="仿宋_GB2312" w:eastAsia="仿宋_GB2312" w:cs="仿宋_GB2312"/>
          <w:color w:val="auto"/>
          <w:sz w:val="28"/>
          <w:szCs w:val="28"/>
        </w:rPr>
        <w:t>。</w:t>
      </w:r>
    </w:p>
    <w:p>
      <w:pPr>
        <w:spacing w:line="640" w:lineRule="exact"/>
        <w:ind w:firstLine="0"/>
        <w:jc w:val="left"/>
        <w:rPr>
          <w:rFonts w:ascii="Times New Roman" w:hAnsi="Times New Roman" w:cs="Times New Roman"/>
          <w:color w:val="auto"/>
          <w:sz w:val="32"/>
          <w:szCs w:val="32"/>
        </w:rPr>
      </w:pPr>
    </w:p>
    <w:p>
      <w:pPr>
        <w:pStyle w:val="4"/>
        <w:rPr>
          <w:rFonts w:ascii="Times New Roman" w:hAnsi="Times New Roman" w:eastAsia="仿宋" w:cs="Times New Roman"/>
          <w:color w:val="auto"/>
          <w:sz w:val="40"/>
        </w:rPr>
        <w:sectPr>
          <w:pgSz w:w="11906" w:h="16838"/>
          <w:pgMar w:top="1440" w:right="1803" w:bottom="1440" w:left="1803" w:header="851" w:footer="992" w:gutter="0"/>
          <w:cols w:space="0" w:num="1"/>
          <w:docGrid w:type="lines" w:linePitch="332" w:charSpace="0"/>
        </w:sectPr>
      </w:pPr>
      <w:bookmarkStart w:id="11" w:name="_Toc29274"/>
    </w:p>
    <w:p>
      <w:pPr>
        <w:pStyle w:val="5"/>
        <w:keepNext w:val="0"/>
        <w:keepLines w:val="0"/>
        <w:spacing w:before="240" w:after="240" w:line="240" w:lineRule="auto"/>
        <w:ind w:firstLine="0"/>
        <w:jc w:val="center"/>
        <w:rPr>
          <w:rFonts w:ascii="Times New Roman" w:hAnsi="Times New Roman" w:eastAsia="仿宋" w:cs="Times New Roman"/>
          <w:color w:val="auto"/>
        </w:rPr>
      </w:pPr>
      <w:bookmarkStart w:id="12" w:name="_Toc27410"/>
      <w:r>
        <w:rPr>
          <w:rFonts w:ascii="Times New Roman" w:hAnsi="Times New Roman" w:eastAsia="仿宋_GB2312" w:cs="Times New Roman"/>
          <w:bCs w:val="0"/>
          <w:color w:val="auto"/>
          <w:sz w:val="40"/>
          <w:szCs w:val="44"/>
        </w:rPr>
        <w:t>第</w:t>
      </w:r>
      <w:r>
        <w:rPr>
          <w:rFonts w:hint="eastAsia" w:ascii="Times New Roman" w:hAnsi="Times New Roman" w:eastAsia="仿宋_GB2312" w:cs="Times New Roman"/>
          <w:bCs w:val="0"/>
          <w:color w:val="auto"/>
          <w:sz w:val="40"/>
          <w:szCs w:val="44"/>
        </w:rPr>
        <w:t>五</w:t>
      </w:r>
      <w:r>
        <w:rPr>
          <w:rFonts w:ascii="Times New Roman" w:hAnsi="Times New Roman" w:eastAsia="仿宋_GB2312" w:cs="Times New Roman"/>
          <w:bCs w:val="0"/>
          <w:color w:val="auto"/>
          <w:sz w:val="40"/>
          <w:szCs w:val="44"/>
        </w:rPr>
        <w:t>章 响应文件相关文书格式</w:t>
      </w:r>
      <w:bookmarkEnd w:id="11"/>
      <w:bookmarkEnd w:id="12"/>
    </w:p>
    <w:p>
      <w:pPr>
        <w:pStyle w:val="2"/>
        <w:spacing w:after="0" w:line="480" w:lineRule="exact"/>
        <w:ind w:firstLine="560" w:firstLineChars="200"/>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（一）资格性响应及采购承诺声明。</w:t>
      </w:r>
    </w:p>
    <w:p>
      <w:pPr>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（二）营业执照、资质证书。</w:t>
      </w:r>
    </w:p>
    <w:p>
      <w:pPr>
        <w:pStyle w:val="2"/>
        <w:spacing w:after="0" w:line="480" w:lineRule="exact"/>
        <w:ind w:firstLine="560" w:firstLineChars="200"/>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（三）法定代表人授权书。</w:t>
      </w:r>
    </w:p>
    <w:p>
      <w:pPr>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（四）法定代表人、授权委托人身份证复印件。</w:t>
      </w:r>
    </w:p>
    <w:p>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（五）报价承诺函。</w:t>
      </w:r>
    </w:p>
    <w:p>
      <w:pPr>
        <w:pStyle w:val="2"/>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 xml:space="preserve"> （六）报价函</w:t>
      </w:r>
    </w:p>
    <w:p>
      <w:pPr>
        <w:pStyle w:val="3"/>
        <w:ind w:firstLine="240"/>
      </w:pPr>
    </w:p>
    <w:p>
      <w:pPr>
        <w:pStyle w:val="2"/>
        <w:rPr>
          <w:color w:val="auto"/>
        </w:rPr>
      </w:pPr>
    </w:p>
    <w:p>
      <w:pPr>
        <w:pStyle w:val="2"/>
        <w:rPr>
          <w:rFonts w:ascii="Times New Roman" w:hAnsi="Times New Roman" w:cs="Times New Roman"/>
          <w:color w:val="auto"/>
        </w:rPr>
      </w:pPr>
    </w:p>
    <w:p>
      <w:pPr>
        <w:spacing w:after="166" w:afterLines="50" w:line="640" w:lineRule="exact"/>
        <w:ind w:firstLine="0"/>
        <w:jc w:val="center"/>
        <w:rPr>
          <w:rFonts w:ascii="Times New Roman" w:hAnsi="Times New Roman" w:cs="Times New Roman"/>
          <w:b/>
          <w:color w:val="auto"/>
          <w:sz w:val="36"/>
          <w:szCs w:val="32"/>
        </w:rPr>
        <w:sectPr>
          <w:pgSz w:w="11906" w:h="16838"/>
          <w:pgMar w:top="1440" w:right="1803" w:bottom="1440" w:left="1803" w:header="851" w:footer="992" w:gutter="0"/>
          <w:cols w:space="0" w:num="1"/>
          <w:docGrid w:type="lines" w:linePitch="332" w:charSpace="0"/>
        </w:sectPr>
      </w:pPr>
    </w:p>
    <w:p>
      <w:pPr>
        <w:autoSpaceDE w:val="0"/>
        <w:autoSpaceDN w:val="0"/>
        <w:adjustRightInd w:val="0"/>
        <w:jc w:val="center"/>
        <w:rPr>
          <w:kern w:val="0"/>
        </w:rPr>
      </w:pPr>
      <w:r>
        <w:rPr>
          <w:rFonts w:hint="eastAsia" w:ascii="仿宋_GB2312" w:hAnsi="仿宋" w:eastAsia="仿宋_GB2312"/>
          <w:b/>
          <w:sz w:val="36"/>
        </w:rPr>
        <w:t>封面</w:t>
      </w:r>
    </w:p>
    <w:p>
      <w:pPr>
        <w:autoSpaceDE w:val="0"/>
        <w:autoSpaceDN w:val="0"/>
        <w:adjustRightInd w:val="0"/>
        <w:jc w:val="left"/>
        <w:rPr>
          <w:kern w:val="0"/>
        </w:rPr>
      </w:pPr>
    </w:p>
    <w:p>
      <w:pPr>
        <w:rPr>
          <w:rFonts w:ascii="仿宋" w:hAnsi="仿宋"/>
          <w:bCs/>
        </w:rPr>
      </w:pPr>
    </w:p>
    <w:p>
      <w:pPr>
        <w:rPr>
          <w:rFonts w:ascii="仿宋" w:hAnsi="仿宋"/>
          <w:bCs/>
          <w:szCs w:val="21"/>
        </w:rPr>
      </w:pPr>
    </w:p>
    <w:p>
      <w:pPr>
        <w:rPr>
          <w:rFonts w:ascii="仿宋" w:hAnsi="仿宋"/>
          <w:bCs/>
          <w:szCs w:val="21"/>
        </w:rPr>
      </w:pPr>
    </w:p>
    <w:p>
      <w:pPr>
        <w:rPr>
          <w:rFonts w:ascii="仿宋" w:hAnsi="仿宋"/>
          <w:bCs/>
          <w:szCs w:val="21"/>
        </w:rPr>
      </w:pPr>
    </w:p>
    <w:p>
      <w:pPr>
        <w:rPr>
          <w:rFonts w:ascii="仿宋" w:hAnsi="仿宋"/>
          <w:bCs/>
          <w:szCs w:val="21"/>
        </w:rPr>
      </w:pPr>
    </w:p>
    <w:p>
      <w:pPr>
        <w:jc w:val="left"/>
        <w:rPr>
          <w:rFonts w:ascii="黑体" w:hAnsi="黑体" w:eastAsia="黑体"/>
        </w:rPr>
      </w:pPr>
    </w:p>
    <w:p>
      <w:pPr>
        <w:jc w:val="center"/>
        <w:rPr>
          <w:rFonts w:ascii="黑体" w:hAnsi="黑体" w:eastAsia="黑体"/>
          <w:spacing w:val="78"/>
          <w:sz w:val="72"/>
          <w:szCs w:val="84"/>
        </w:rPr>
      </w:pPr>
      <w:r>
        <w:rPr>
          <w:rFonts w:hint="eastAsia" w:ascii="黑体" w:hAnsi="黑体" w:eastAsia="黑体"/>
          <w:spacing w:val="78"/>
          <w:sz w:val="72"/>
          <w:szCs w:val="84"/>
        </w:rPr>
        <w:t>响应文件</w:t>
      </w:r>
    </w:p>
    <w:p>
      <w:pPr>
        <w:ind w:firstLine="627" w:firstLineChars="196"/>
        <w:jc w:val="left"/>
        <w:rPr>
          <w:rFonts w:ascii="华文中宋" w:hAnsi="华文中宋" w:eastAsia="华文中宋"/>
          <w:bCs/>
          <w:sz w:val="32"/>
          <w:szCs w:val="32"/>
        </w:rPr>
      </w:pPr>
    </w:p>
    <w:p>
      <w:pPr>
        <w:ind w:firstLine="627" w:firstLineChars="196"/>
        <w:jc w:val="left"/>
        <w:rPr>
          <w:rFonts w:ascii="华文中宋" w:hAnsi="华文中宋" w:eastAsia="华文中宋"/>
          <w:bCs/>
          <w:sz w:val="32"/>
          <w:szCs w:val="32"/>
        </w:rPr>
      </w:pPr>
    </w:p>
    <w:p>
      <w:pPr>
        <w:ind w:firstLine="627" w:firstLineChars="196"/>
        <w:jc w:val="left"/>
        <w:rPr>
          <w:rFonts w:ascii="华文中宋" w:hAnsi="华文中宋" w:eastAsia="华文中宋"/>
          <w:bCs/>
          <w:sz w:val="32"/>
          <w:szCs w:val="32"/>
        </w:rPr>
      </w:pPr>
    </w:p>
    <w:p>
      <w:pPr>
        <w:ind w:firstLine="641" w:firstLineChars="200"/>
        <w:jc w:val="left"/>
        <w:rPr>
          <w:rFonts w:ascii="华文中宋" w:hAnsi="华文中宋" w:eastAsia="华文中宋"/>
          <w:b/>
          <w:bCs/>
          <w:sz w:val="32"/>
          <w:szCs w:val="32"/>
        </w:rPr>
      </w:pPr>
    </w:p>
    <w:p>
      <w:pPr>
        <w:jc w:val="left"/>
        <w:rPr>
          <w:rFonts w:ascii="楷体_GB2312" w:hAnsi="华文中宋" w:eastAsia="楷体_GB2312"/>
          <w:b/>
          <w:bCs/>
          <w:sz w:val="32"/>
          <w:szCs w:val="32"/>
        </w:rPr>
      </w:pPr>
      <w:r>
        <w:rPr>
          <w:rFonts w:hint="eastAsia" w:ascii="楷体_GB2312" w:hAnsi="华文中宋" w:eastAsia="楷体_GB2312"/>
          <w:b/>
          <w:bCs/>
          <w:sz w:val="32"/>
          <w:szCs w:val="32"/>
        </w:rPr>
        <w:t>项目名称：</w:t>
      </w:r>
      <w:r>
        <w:rPr>
          <w:rFonts w:hint="eastAsia" w:ascii="楷体_GB2312" w:hAnsi="华文中宋" w:eastAsia="楷体_GB2312"/>
          <w:b/>
          <w:bCs/>
          <w:sz w:val="32"/>
          <w:szCs w:val="32"/>
          <w:u w:val="single"/>
        </w:rPr>
        <w:t xml:space="preserve">                                </w:t>
      </w:r>
    </w:p>
    <w:p>
      <w:pPr>
        <w:rPr>
          <w:rFonts w:ascii="楷体_GB2312" w:hAnsi="华文中宋" w:eastAsia="楷体_GB2312"/>
          <w:b/>
          <w:bCs/>
          <w:sz w:val="36"/>
        </w:rPr>
      </w:pPr>
      <w:r>
        <w:rPr>
          <w:rFonts w:hint="eastAsia" w:ascii="楷体_GB2312" w:hAnsi="华文中宋" w:eastAsia="楷体_GB2312"/>
          <w:b/>
          <w:bCs/>
          <w:sz w:val="32"/>
          <w:szCs w:val="32"/>
        </w:rPr>
        <w:t>项目编号：</w:t>
      </w:r>
      <w:r>
        <w:rPr>
          <w:rFonts w:hint="eastAsia" w:ascii="楷体_GB2312" w:hAnsi="华文中宋" w:eastAsia="楷体_GB2312"/>
          <w:b/>
          <w:bCs/>
          <w:sz w:val="32"/>
          <w:szCs w:val="32"/>
          <w:u w:val="single"/>
        </w:rPr>
        <w:t xml:space="preserve">                                </w:t>
      </w:r>
    </w:p>
    <w:p>
      <w:pPr>
        <w:jc w:val="left"/>
        <w:rPr>
          <w:rFonts w:ascii="楷体_GB2312" w:hAnsi="华文中宋" w:eastAsia="楷体_GB2312"/>
          <w:b/>
          <w:bCs/>
          <w:sz w:val="32"/>
          <w:szCs w:val="32"/>
          <w:u w:val="single"/>
        </w:rPr>
      </w:pPr>
      <w:r>
        <w:rPr>
          <w:rFonts w:hint="eastAsia" w:ascii="楷体_GB2312" w:hAnsi="华文中宋" w:eastAsia="楷体_GB2312"/>
          <w:b/>
          <w:bCs/>
          <w:sz w:val="32"/>
          <w:szCs w:val="32"/>
        </w:rPr>
        <w:t>供应商名称：</w:t>
      </w:r>
      <w:r>
        <w:rPr>
          <w:rFonts w:hint="eastAsia" w:ascii="楷体_GB2312" w:hAnsi="华文中宋" w:eastAsia="楷体_GB2312"/>
          <w:b/>
          <w:bCs/>
          <w:sz w:val="32"/>
          <w:szCs w:val="32"/>
          <w:u w:val="single"/>
        </w:rPr>
        <w:t xml:space="preserve">                              </w:t>
      </w:r>
    </w:p>
    <w:p>
      <w:pPr>
        <w:ind w:firstLine="627" w:firstLineChars="196"/>
        <w:jc w:val="left"/>
        <w:rPr>
          <w:rFonts w:ascii="华文中宋" w:hAnsi="华文中宋" w:eastAsia="华文中宋"/>
          <w:bCs/>
          <w:sz w:val="32"/>
          <w:szCs w:val="32"/>
          <w:u w:val="single"/>
        </w:rPr>
      </w:pPr>
    </w:p>
    <w:p>
      <w:pPr>
        <w:ind w:firstLine="627" w:firstLineChars="196"/>
        <w:jc w:val="left"/>
        <w:rPr>
          <w:rFonts w:ascii="华文中宋" w:hAnsi="华文中宋" w:eastAsia="华文中宋"/>
          <w:bCs/>
          <w:sz w:val="32"/>
          <w:szCs w:val="32"/>
          <w:u w:val="single"/>
        </w:rPr>
      </w:pPr>
    </w:p>
    <w:p>
      <w:pPr>
        <w:spacing w:line="640" w:lineRule="exact"/>
        <w:ind w:firstLine="0"/>
        <w:jc w:val="center"/>
        <w:rPr>
          <w:rFonts w:ascii="楷体_GB2312" w:hAnsi="华文中宋" w:eastAsia="楷体_GB2312"/>
          <w:b/>
          <w:bCs/>
          <w:sz w:val="32"/>
          <w:szCs w:val="32"/>
        </w:rPr>
        <w:sectPr>
          <w:pgSz w:w="11906" w:h="16838"/>
          <w:pgMar w:top="1440" w:right="1800" w:bottom="1440" w:left="1800" w:header="851" w:footer="992" w:gutter="0"/>
          <w:cols w:space="425" w:num="1"/>
          <w:docGrid w:type="lines" w:linePitch="312" w:charSpace="0"/>
        </w:sectPr>
      </w:pPr>
      <w:r>
        <w:rPr>
          <w:rFonts w:hint="eastAsia" w:ascii="楷体_GB2312" w:hAnsi="华文中宋" w:eastAsia="楷体_GB2312"/>
          <w:b/>
          <w:bCs/>
          <w:sz w:val="32"/>
          <w:szCs w:val="32"/>
        </w:rPr>
        <w:t>日期：    年  月  日</w:t>
      </w:r>
    </w:p>
    <w:p>
      <w:pPr>
        <w:spacing w:after="166" w:afterLines="50" w:line="640" w:lineRule="exact"/>
        <w:ind w:firstLine="0"/>
        <w:jc w:val="center"/>
        <w:rPr>
          <w:rFonts w:ascii="Times New Roman" w:hAnsi="Times New Roman" w:eastAsia="仿宋_GB2312" w:cs="Times New Roman"/>
          <w:b/>
          <w:color w:val="auto"/>
          <w:sz w:val="36"/>
          <w:szCs w:val="32"/>
        </w:rPr>
      </w:pPr>
      <w:r>
        <w:rPr>
          <w:rFonts w:ascii="Times New Roman" w:hAnsi="Times New Roman" w:eastAsia="仿宋_GB2312" w:cs="Times New Roman"/>
          <w:b/>
          <w:color w:val="auto"/>
          <w:sz w:val="36"/>
          <w:szCs w:val="32"/>
        </w:rPr>
        <w:t>一、资格性响应及采购承诺声明</w:t>
      </w:r>
    </w:p>
    <w:p>
      <w:pPr>
        <w:spacing w:line="44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广元市利州区文旅投资集团有限公司：</w:t>
      </w:r>
    </w:p>
    <w:p>
      <w:pPr>
        <w:spacing w:line="440" w:lineRule="exact"/>
        <w:ind w:firstLine="64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我方全面研究了</w:t>
      </w:r>
      <w:r>
        <w:rPr>
          <w:rFonts w:hint="eastAsia" w:ascii="仿宋_GB2312" w:hAnsi="仿宋_GB2312" w:eastAsia="仿宋_GB2312" w:cs="仿宋_GB2312"/>
          <w:color w:val="auto"/>
          <w:sz w:val="28"/>
          <w:szCs w:val="28"/>
          <w:u w:val="single"/>
        </w:rPr>
        <w:t xml:space="preserve">             项目(文件编号：   )</w:t>
      </w:r>
      <w:r>
        <w:rPr>
          <w:rFonts w:hint="eastAsia" w:ascii="仿宋_GB2312" w:hAnsi="仿宋_GB2312" w:eastAsia="仿宋_GB2312" w:cs="仿宋_GB2312"/>
          <w:color w:val="auto"/>
          <w:sz w:val="28"/>
          <w:szCs w:val="28"/>
        </w:rPr>
        <w:t>，决定参加贵单位组织的本项目报价采购。现承诺声明如下：</w:t>
      </w:r>
    </w:p>
    <w:p>
      <w:pPr>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一、具备本项目规定的条件：</w:t>
      </w:r>
    </w:p>
    <w:p>
      <w:pPr>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（一）具有独立承担民事责任的能力；</w:t>
      </w:r>
    </w:p>
    <w:p>
      <w:pPr>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（二）具有良好的商业信誉和健全的财务会计制度；</w:t>
      </w:r>
    </w:p>
    <w:p>
      <w:pPr>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（三）具有履行合同所必需的设备和专业技术能力；</w:t>
      </w:r>
    </w:p>
    <w:p>
      <w:pPr>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（四）有依法缴纳税收和社会保障资金的良好记录；</w:t>
      </w:r>
    </w:p>
    <w:p>
      <w:pPr>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（五）参加采购活动前三年内，在经营活动中没有重大违法记录；</w:t>
      </w:r>
    </w:p>
    <w:p>
      <w:pPr>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（六）法律、行政法规规定的其他条件。</w:t>
      </w:r>
    </w:p>
    <w:p>
      <w:pPr>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完全接受和满足本项目采购文件中规定的实质性要求，如对采购文件有异议，已经在递交响应文件截止时间届满前依法进行维权救济，不存在对采购文件有异议的同时又参加报价以求侥幸成交或者为实现其他非法目的的行为。</w:t>
      </w:r>
    </w:p>
    <w:p>
      <w:pPr>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三、在参加本次采购活动中，不存在与单位负责人为同一人或者存在直接控股、管理关系的其他供应商参与同一合同项下的采购活动的行为。</w:t>
      </w:r>
    </w:p>
    <w:p>
      <w:pPr>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四、在参加本次采购活动中，不存在和其他供应商在同一合同项下的采购项目中，同时委托同一个自然人、同一家庭的人员、同一单位的人员作为代理人的行为。</w:t>
      </w:r>
    </w:p>
    <w:p>
      <w:pPr>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五、响应文件中提供的任何资料和技术、服务、商务等响应承诺情况都是真实的、有效的、合法的。</w:t>
      </w:r>
    </w:p>
    <w:p>
      <w:pPr>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本公司对上述承诺的内容事项真实性负责。如经查实上述承诺的内容事项存在虚假，我公司愿意接受以提供虚假材料谋取成交的法律责任。</w:t>
      </w:r>
    </w:p>
    <w:p>
      <w:pPr>
        <w:spacing w:line="400" w:lineRule="exact"/>
        <w:ind w:firstLine="0"/>
        <w:jc w:val="left"/>
        <w:rPr>
          <w:rFonts w:ascii="仿宋_GB2312" w:hAnsi="仿宋_GB2312" w:eastAsia="仿宋_GB2312" w:cs="仿宋_GB2312"/>
          <w:color w:val="auto"/>
          <w:sz w:val="28"/>
          <w:szCs w:val="28"/>
        </w:rPr>
      </w:pPr>
    </w:p>
    <w:p>
      <w:pPr>
        <w:spacing w:line="400" w:lineRule="exact"/>
        <w:ind w:firstLine="0"/>
        <w:jc w:val="righ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供应商名称（盖章）：</w:t>
      </w:r>
    </w:p>
    <w:p>
      <w:pPr>
        <w:spacing w:line="400" w:lineRule="exact"/>
        <w:ind w:firstLine="0"/>
        <w:jc w:val="righ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法定代表人或授权代表（签字或盖章）：</w:t>
      </w:r>
    </w:p>
    <w:p>
      <w:pPr>
        <w:spacing w:line="400" w:lineRule="exact"/>
        <w:ind w:firstLine="0"/>
        <w:jc w:val="righ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    期：</w:t>
      </w:r>
    </w:p>
    <w:p>
      <w:pPr>
        <w:spacing w:line="460" w:lineRule="exact"/>
        <w:ind w:firstLine="0"/>
        <w:jc w:val="center"/>
        <w:rPr>
          <w:rFonts w:ascii="Times New Roman" w:hAnsi="Times New Roman" w:eastAsia="仿宋_GB2312" w:cs="Times New Roman"/>
          <w:b/>
          <w:color w:val="auto"/>
          <w:sz w:val="36"/>
          <w:szCs w:val="32"/>
        </w:rPr>
      </w:pPr>
      <w:r>
        <w:rPr>
          <w:rFonts w:hint="eastAsia" w:ascii="Times New Roman" w:hAnsi="Times New Roman" w:eastAsia="仿宋_GB2312" w:cs="Times New Roman"/>
          <w:b/>
          <w:color w:val="auto"/>
          <w:sz w:val="36"/>
          <w:szCs w:val="32"/>
        </w:rPr>
        <w:t>二</w:t>
      </w:r>
      <w:r>
        <w:rPr>
          <w:rFonts w:ascii="Times New Roman" w:hAnsi="Times New Roman" w:eastAsia="仿宋_GB2312" w:cs="Times New Roman"/>
          <w:b/>
          <w:color w:val="auto"/>
          <w:sz w:val="36"/>
          <w:szCs w:val="32"/>
        </w:rPr>
        <w:t>、营业执照、资质证书</w:t>
      </w:r>
    </w:p>
    <w:p>
      <w:pPr>
        <w:pStyle w:val="2"/>
        <w:rPr>
          <w:rFonts w:ascii="仿宋_GB2312" w:hAnsi="仿宋_GB2312" w:eastAsia="仿宋_GB2312" w:cs="仿宋_GB2312"/>
          <w:color w:val="auto"/>
          <w:sz w:val="28"/>
          <w:szCs w:val="28"/>
        </w:rPr>
        <w:sectPr>
          <w:pgSz w:w="11906" w:h="16838"/>
          <w:pgMar w:top="1440" w:right="1803" w:bottom="1440" w:left="1803" w:header="851" w:footer="992" w:gutter="0"/>
          <w:cols w:space="0" w:num="1"/>
          <w:docGrid w:type="lines" w:linePitch="332" w:charSpace="0"/>
        </w:sectPr>
      </w:pPr>
    </w:p>
    <w:p>
      <w:pPr>
        <w:spacing w:after="166" w:afterLines="50" w:line="640" w:lineRule="exact"/>
        <w:ind w:firstLine="0"/>
        <w:jc w:val="center"/>
        <w:rPr>
          <w:rFonts w:ascii="Times New Roman" w:hAnsi="Times New Roman" w:eastAsia="仿宋_GB2312" w:cs="Times New Roman"/>
          <w:b/>
          <w:color w:val="auto"/>
          <w:sz w:val="36"/>
          <w:szCs w:val="32"/>
        </w:rPr>
      </w:pPr>
      <w:r>
        <w:rPr>
          <w:rFonts w:ascii="Times New Roman" w:hAnsi="Times New Roman" w:eastAsia="仿宋_GB2312" w:cs="Times New Roman"/>
          <w:b/>
          <w:color w:val="auto"/>
          <w:sz w:val="36"/>
          <w:szCs w:val="32"/>
        </w:rPr>
        <w:t>三、法定代表人授权书</w:t>
      </w:r>
    </w:p>
    <w:p>
      <w:pPr>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广元市利州区文旅投资集团有限公司：</w:t>
      </w:r>
    </w:p>
    <w:p>
      <w:pPr>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本授权声明：                     （意向供应商名称）法定代表人       （姓名、职务）授权         （被授权人姓名、职务）为我方</w:t>
      </w:r>
      <w:r>
        <w:rPr>
          <w:rFonts w:hint="eastAsia" w:ascii="仿宋_GB2312" w:hAnsi="仿宋_GB2312" w:eastAsia="仿宋_GB2312" w:cs="仿宋_GB2312"/>
          <w:color w:val="auto"/>
          <w:sz w:val="28"/>
          <w:szCs w:val="28"/>
          <w:u w:val="single"/>
        </w:rPr>
        <w:t xml:space="preserve">             项目(文件编号：   )</w:t>
      </w:r>
      <w:r>
        <w:rPr>
          <w:rFonts w:hint="eastAsia" w:ascii="仿宋_GB2312" w:hAnsi="仿宋_GB2312" w:eastAsia="仿宋_GB2312" w:cs="仿宋_GB2312"/>
          <w:color w:val="auto"/>
          <w:sz w:val="28"/>
          <w:szCs w:val="28"/>
        </w:rPr>
        <w:t>的合法代表，以我方名义全权处理该采购项目有关资料提交、登记报名、参与报价、《成交通知书》领取、采购合同签订等事宜。</w:t>
      </w:r>
    </w:p>
    <w:p>
      <w:pPr>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特此委托。</w:t>
      </w:r>
    </w:p>
    <w:p>
      <w:pPr>
        <w:spacing w:line="400" w:lineRule="exact"/>
        <w:ind w:firstLine="0"/>
        <w:jc w:val="left"/>
        <w:rPr>
          <w:rFonts w:ascii="仿宋_GB2312" w:hAnsi="仿宋_GB2312" w:eastAsia="仿宋_GB2312" w:cs="仿宋_GB2312"/>
          <w:color w:val="auto"/>
          <w:sz w:val="28"/>
          <w:szCs w:val="28"/>
        </w:rPr>
      </w:pPr>
    </w:p>
    <w:p>
      <w:pPr>
        <w:spacing w:line="400" w:lineRule="exact"/>
        <w:ind w:firstLine="0"/>
        <w:jc w:val="left"/>
        <w:rPr>
          <w:rFonts w:ascii="仿宋_GB2312" w:hAnsi="仿宋_GB2312" w:eastAsia="仿宋_GB2312" w:cs="仿宋_GB2312"/>
          <w:color w:val="auto"/>
          <w:sz w:val="28"/>
          <w:szCs w:val="28"/>
        </w:rPr>
      </w:pPr>
    </w:p>
    <w:p>
      <w:pPr>
        <w:spacing w:line="400" w:lineRule="exact"/>
        <w:ind w:firstLine="0"/>
        <w:jc w:val="righ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供应商名称（盖章）：</w:t>
      </w:r>
    </w:p>
    <w:p>
      <w:pPr>
        <w:spacing w:line="460" w:lineRule="exact"/>
        <w:ind w:firstLine="0"/>
        <w:jc w:val="righ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法定代表人（签字或盖章）：</w:t>
      </w:r>
    </w:p>
    <w:p>
      <w:pPr>
        <w:spacing w:line="460" w:lineRule="exact"/>
        <w:ind w:firstLine="0"/>
        <w:jc w:val="righ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授权代表（签字）：</w:t>
      </w:r>
    </w:p>
    <w:p>
      <w:pPr>
        <w:spacing w:line="460" w:lineRule="exact"/>
        <w:ind w:firstLine="0"/>
        <w:jc w:val="righ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    期：</w:t>
      </w:r>
    </w:p>
    <w:p>
      <w:pPr>
        <w:spacing w:after="166" w:afterLines="50" w:line="640" w:lineRule="exact"/>
        <w:ind w:firstLine="0"/>
        <w:jc w:val="center"/>
        <w:rPr>
          <w:rFonts w:ascii="仿宋_GB2312" w:hAnsi="仿宋_GB2312" w:eastAsia="仿宋_GB2312" w:cs="仿宋_GB2312"/>
          <w:color w:val="auto"/>
          <w:sz w:val="28"/>
          <w:szCs w:val="28"/>
        </w:rPr>
      </w:pPr>
    </w:p>
    <w:p>
      <w:pPr>
        <w:widowControl/>
        <w:spacing w:line="240" w:lineRule="auto"/>
        <w:ind w:firstLine="0"/>
        <w:jc w:val="left"/>
        <w:rPr>
          <w:rFonts w:ascii="仿宋_GB2312" w:hAnsi="仿宋_GB2312" w:eastAsia="仿宋_GB2312" w:cs="仿宋_GB2312"/>
          <w:color w:val="auto"/>
          <w:kern w:val="0"/>
          <w:sz w:val="28"/>
          <w:szCs w:val="28"/>
        </w:rPr>
        <w:sectPr>
          <w:pgSz w:w="11906" w:h="16838"/>
          <w:pgMar w:top="1440" w:right="1803" w:bottom="1440" w:left="1803" w:header="851" w:footer="992" w:gutter="0"/>
          <w:cols w:space="0" w:num="1"/>
          <w:docGrid w:type="lines" w:linePitch="332" w:charSpace="0"/>
        </w:sectPr>
      </w:pPr>
    </w:p>
    <w:p>
      <w:pPr>
        <w:spacing w:line="460" w:lineRule="exact"/>
        <w:ind w:firstLine="0"/>
        <w:jc w:val="center"/>
        <w:rPr>
          <w:rFonts w:ascii="Times New Roman" w:hAnsi="Times New Roman" w:eastAsia="仿宋_GB2312" w:cs="Times New Roman"/>
          <w:b/>
          <w:color w:val="auto"/>
          <w:sz w:val="36"/>
          <w:szCs w:val="32"/>
        </w:rPr>
      </w:pPr>
      <w:r>
        <w:rPr>
          <w:rFonts w:hint="eastAsia" w:ascii="Times New Roman" w:hAnsi="Times New Roman" w:eastAsia="仿宋_GB2312" w:cs="Times New Roman"/>
          <w:b/>
          <w:color w:val="auto"/>
          <w:sz w:val="36"/>
          <w:szCs w:val="32"/>
        </w:rPr>
        <w:t>四</w:t>
      </w:r>
      <w:r>
        <w:rPr>
          <w:rFonts w:ascii="Times New Roman" w:hAnsi="Times New Roman" w:eastAsia="仿宋_GB2312" w:cs="Times New Roman"/>
          <w:b/>
          <w:color w:val="auto"/>
          <w:sz w:val="36"/>
          <w:szCs w:val="32"/>
        </w:rPr>
        <w:t>、法定代表人、授权委托人身份证</w:t>
      </w:r>
      <w:r>
        <w:rPr>
          <w:rFonts w:hint="eastAsia" w:ascii="Times New Roman" w:hAnsi="Times New Roman" w:eastAsia="仿宋_GB2312" w:cs="Times New Roman"/>
          <w:b/>
          <w:color w:val="auto"/>
          <w:sz w:val="36"/>
          <w:szCs w:val="32"/>
        </w:rPr>
        <w:t>复印件</w:t>
      </w:r>
    </w:p>
    <w:p>
      <w:pPr>
        <w:ind w:firstLine="0"/>
        <w:jc w:val="center"/>
        <w:rPr>
          <w:rFonts w:ascii="Times New Roman" w:hAnsi="Times New Roman" w:cs="Times New Roman"/>
          <w:b/>
          <w:color w:val="auto"/>
          <w:sz w:val="36"/>
          <w:szCs w:val="32"/>
        </w:rPr>
      </w:pPr>
    </w:p>
    <w:p>
      <w:pPr>
        <w:ind w:firstLine="0"/>
        <w:jc w:val="center"/>
        <w:rPr>
          <w:rFonts w:ascii="Times New Roman" w:hAnsi="Times New Roman" w:cs="Times New Roman"/>
          <w:b/>
          <w:color w:val="auto"/>
          <w:sz w:val="36"/>
          <w:szCs w:val="32"/>
        </w:rPr>
        <w:sectPr>
          <w:pgSz w:w="11906" w:h="16838"/>
          <w:pgMar w:top="1440" w:right="1803" w:bottom="1440" w:left="1803" w:header="851" w:footer="992" w:gutter="0"/>
          <w:cols w:space="0" w:num="1"/>
          <w:docGrid w:type="lines" w:linePitch="332" w:charSpace="0"/>
        </w:sectPr>
      </w:pPr>
    </w:p>
    <w:p>
      <w:pPr>
        <w:spacing w:after="166" w:afterLines="50" w:line="480" w:lineRule="exact"/>
        <w:ind w:firstLine="0"/>
        <w:jc w:val="center"/>
        <w:rPr>
          <w:rFonts w:ascii="Times New Roman" w:hAnsi="Times New Roman" w:eastAsia="仿宋_GB2312" w:cs="Times New Roman"/>
          <w:b/>
          <w:color w:val="auto"/>
          <w:sz w:val="36"/>
          <w:szCs w:val="32"/>
        </w:rPr>
      </w:pPr>
      <w:bookmarkStart w:id="13" w:name="_Toc1275"/>
      <w:r>
        <w:rPr>
          <w:rFonts w:hint="eastAsia" w:ascii="Times New Roman" w:hAnsi="Times New Roman" w:eastAsia="仿宋_GB2312" w:cs="Times New Roman"/>
          <w:b/>
          <w:color w:val="auto"/>
          <w:sz w:val="36"/>
          <w:szCs w:val="32"/>
        </w:rPr>
        <w:t>五、报价</w:t>
      </w:r>
      <w:r>
        <w:rPr>
          <w:rFonts w:ascii="Times New Roman" w:hAnsi="Times New Roman" w:eastAsia="仿宋_GB2312" w:cs="Times New Roman"/>
          <w:b/>
          <w:color w:val="auto"/>
          <w:sz w:val="36"/>
          <w:szCs w:val="32"/>
        </w:rPr>
        <w:t>承诺函</w:t>
      </w:r>
    </w:p>
    <w:p>
      <w:pPr>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广元利州区文旅投资集团有限公司：</w:t>
      </w:r>
    </w:p>
    <w:p>
      <w:pPr>
        <w:widowControl/>
        <w:shd w:val="clear" w:color="auto" w:fill="FFFFFF"/>
        <w:ind w:firstLine="560" w:firstLineChars="200"/>
        <w:jc w:val="left"/>
        <w:rPr>
          <w:rFonts w:ascii="仿宋_GB2312" w:hAnsi="仿宋_GB2312" w:eastAsia="仿宋_GB2312" w:cs="仿宋_GB2312"/>
          <w:b/>
          <w:color w:val="auto"/>
          <w:sz w:val="28"/>
          <w:szCs w:val="28"/>
          <w:u w:val="single"/>
        </w:rPr>
      </w:pPr>
      <w:r>
        <w:rPr>
          <w:rFonts w:hint="eastAsia" w:ascii="仿宋_GB2312" w:hAnsi="仿宋_GB2312" w:eastAsia="仿宋_GB2312" w:cs="仿宋_GB2312"/>
          <w:color w:val="auto"/>
          <w:sz w:val="28"/>
          <w:szCs w:val="28"/>
        </w:rPr>
        <w:t>本方就参与</w:t>
      </w:r>
      <w:r>
        <w:rPr>
          <w:rFonts w:hint="eastAsia" w:ascii="仿宋_GB2312" w:hAnsi="仿宋_GB2312" w:eastAsia="仿宋_GB2312" w:cs="仿宋_GB2312"/>
          <w:color w:val="auto"/>
          <w:sz w:val="28"/>
          <w:szCs w:val="28"/>
          <w:u w:val="single"/>
        </w:rPr>
        <w:t xml:space="preserve">             项目(文件编号：   )</w:t>
      </w:r>
      <w:r>
        <w:rPr>
          <w:rFonts w:hint="eastAsia" w:ascii="仿宋_GB2312" w:hAnsi="仿宋_GB2312" w:eastAsia="仿宋_GB2312" w:cs="仿宋_GB2312"/>
          <w:color w:val="auto"/>
          <w:sz w:val="28"/>
          <w:szCs w:val="28"/>
        </w:rPr>
        <w:t xml:space="preserve">报价活动做出如下承诺：          </w:t>
      </w:r>
    </w:p>
    <w:p>
      <w:pPr>
        <w:ind w:firstLine="64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一、本方同意按照报价相关规定参加本项目报价活动。</w:t>
      </w:r>
    </w:p>
    <w:p>
      <w:pPr>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二、本方对采购项目已充分了解，自愿遵守本次的相关规定。</w:t>
      </w:r>
    </w:p>
    <w:p>
      <w:pPr>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三、本方已完成对本项目的全面调查了解（包括但不限于查阅采购文件），对项目相关参数已充分知晓并认可。本方对报价行为负责，自行承担包括但不限于因所获取的项目信息不全面、误解等而产生的相应后果。</w:t>
      </w:r>
    </w:p>
    <w:p>
      <w:pPr>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四、本承诺书为不可撤销之承诺。</w:t>
      </w:r>
    </w:p>
    <w:p>
      <w:pPr>
        <w:spacing w:line="400" w:lineRule="exact"/>
        <w:ind w:firstLine="0"/>
        <w:jc w:val="left"/>
        <w:rPr>
          <w:rFonts w:ascii="仿宋_GB2312" w:hAnsi="仿宋_GB2312" w:eastAsia="仿宋_GB2312" w:cs="仿宋_GB2312"/>
          <w:color w:val="auto"/>
          <w:sz w:val="28"/>
          <w:szCs w:val="28"/>
        </w:rPr>
      </w:pPr>
    </w:p>
    <w:p>
      <w:pPr>
        <w:pStyle w:val="32"/>
        <w:rPr>
          <w:rFonts w:ascii="仿宋_GB2312" w:hAnsi="仿宋_GB2312" w:eastAsia="仿宋_GB2312" w:cs="仿宋_GB2312"/>
          <w:color w:val="auto"/>
          <w:sz w:val="28"/>
          <w:szCs w:val="28"/>
        </w:rPr>
      </w:pPr>
    </w:p>
    <w:p>
      <w:pPr>
        <w:spacing w:line="400" w:lineRule="exact"/>
        <w:ind w:firstLine="0"/>
        <w:jc w:val="righ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供应商名称（盖章）：</w:t>
      </w:r>
    </w:p>
    <w:p>
      <w:pPr>
        <w:spacing w:line="460" w:lineRule="exact"/>
        <w:ind w:firstLine="0"/>
        <w:jc w:val="right"/>
        <w:rPr>
          <w:rFonts w:ascii="仿宋_GB2312" w:hAnsi="仿宋_GB2312" w:eastAsia="仿宋_GB2312" w:cs="仿宋_GB2312"/>
          <w:color w:val="auto"/>
          <w:sz w:val="28"/>
          <w:szCs w:val="28"/>
        </w:rPr>
      </w:pPr>
    </w:p>
    <w:p>
      <w:pPr>
        <w:spacing w:line="460" w:lineRule="exact"/>
        <w:ind w:firstLine="0"/>
        <w:jc w:val="righ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授权代表（签字）：</w:t>
      </w:r>
    </w:p>
    <w:p>
      <w:pPr>
        <w:spacing w:line="460" w:lineRule="exact"/>
        <w:ind w:firstLine="0"/>
        <w:jc w:val="righ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    期：</w:t>
      </w:r>
    </w:p>
    <w:p>
      <w:pPr>
        <w:spacing w:after="166" w:afterLines="50" w:line="480" w:lineRule="exact"/>
        <w:ind w:firstLine="0"/>
        <w:jc w:val="center"/>
        <w:rPr>
          <w:rFonts w:ascii="Times New Roman" w:hAnsi="Times New Roman" w:eastAsia="仿宋_GB2312" w:cs="Times New Roman"/>
          <w:b/>
          <w:color w:val="auto"/>
          <w:sz w:val="36"/>
          <w:szCs w:val="32"/>
        </w:rPr>
        <w:sectPr>
          <w:pgSz w:w="11906" w:h="16838"/>
          <w:pgMar w:top="1440" w:right="1803" w:bottom="1440" w:left="1803" w:header="851" w:footer="992" w:gutter="0"/>
          <w:cols w:space="0" w:num="1"/>
          <w:docGrid w:type="lines" w:linePitch="332" w:charSpace="0"/>
        </w:sectPr>
      </w:pPr>
      <w:bookmarkStart w:id="14" w:name="_Toc17705"/>
    </w:p>
    <w:p>
      <w:pPr>
        <w:spacing w:after="156" w:afterLines="50" w:line="480" w:lineRule="exact"/>
        <w:ind w:firstLine="0"/>
        <w:jc w:val="center"/>
        <w:rPr>
          <w:rFonts w:ascii="Times New Roman" w:hAnsi="Times New Roman" w:eastAsia="仿宋_GB2312" w:cs="Times New Roman"/>
          <w:b/>
          <w:color w:val="auto"/>
          <w:sz w:val="36"/>
          <w:szCs w:val="32"/>
        </w:rPr>
      </w:pPr>
      <w:r>
        <w:rPr>
          <w:rFonts w:hint="eastAsia" w:ascii="Times New Roman" w:hAnsi="Times New Roman" w:eastAsia="仿宋_GB2312" w:cs="Times New Roman"/>
          <w:b/>
          <w:color w:val="auto"/>
          <w:sz w:val="36"/>
          <w:szCs w:val="32"/>
        </w:rPr>
        <w:t>六、报价</w:t>
      </w:r>
      <w:r>
        <w:rPr>
          <w:rFonts w:ascii="Times New Roman" w:hAnsi="Times New Roman" w:eastAsia="仿宋_GB2312" w:cs="Times New Roman"/>
          <w:b/>
          <w:color w:val="auto"/>
          <w:sz w:val="36"/>
          <w:szCs w:val="32"/>
        </w:rPr>
        <w:t>函</w:t>
      </w:r>
    </w:p>
    <w:p>
      <w:pPr>
        <w:spacing w:line="48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广元利州区文旅投资集团有限公司：</w:t>
      </w:r>
    </w:p>
    <w:p>
      <w:pPr>
        <w:spacing w:line="480" w:lineRule="auto"/>
        <w:jc w:val="left"/>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本方就参与</w:t>
      </w:r>
      <w:r>
        <w:rPr>
          <w:rFonts w:hint="eastAsia" w:ascii="仿宋_GB2312" w:hAnsi="仿宋_GB2312" w:eastAsia="仿宋_GB2312" w:cs="仿宋_GB2312"/>
          <w:color w:val="auto"/>
          <w:sz w:val="28"/>
          <w:szCs w:val="28"/>
          <w:u w:val="single"/>
        </w:rPr>
        <w:t xml:space="preserve">             项目(文件编号：   )</w:t>
      </w:r>
      <w:r>
        <w:rPr>
          <w:rFonts w:hint="eastAsia" w:ascii="仿宋_GB2312" w:hAnsi="仿宋_GB2312" w:eastAsia="仿宋_GB2312" w:cs="仿宋_GB2312"/>
          <w:color w:val="auto"/>
          <w:sz w:val="28"/>
          <w:szCs w:val="28"/>
        </w:rPr>
        <w:t xml:space="preserve">活动做出如下报价：我单位在本次最高限价（计算基数暂按390万，最终以送审结算金额为最终计算基数。1.跟踪审计计算费率按《工程造价咨询服务收费标准》(川价发〔2008〕141号)第十一项“施工阶段全过程造价控制” 标准下浮20%。2.结算内审计算费率按《工程造价咨询服务收费标准》(川价发〔2008〕141号)第九项“审核竣工结算”标准下浮20%，效益费按4%计取的标准下浮20%。）的基础上下浮比例为：  </w:t>
      </w:r>
      <w:r>
        <w:rPr>
          <w:rFonts w:hint="eastAsia" w:ascii="仿宋_GB2312" w:hAnsi="仿宋_GB2312" w:eastAsia="仿宋_GB2312" w:cs="仿宋_GB2312"/>
          <w:color w:val="auto"/>
          <w:sz w:val="28"/>
          <w:szCs w:val="28"/>
          <w:u w:val="single"/>
        </w:rPr>
        <w:t xml:space="preserve">         %  </w:t>
      </w:r>
    </w:p>
    <w:p>
      <w:pPr>
        <w:spacing w:line="400" w:lineRule="exact"/>
        <w:jc w:val="left"/>
        <w:rPr>
          <w:rFonts w:ascii="仿宋_GB2312" w:hAnsi="仿宋_GB2312" w:eastAsia="仿宋_GB2312" w:cs="仿宋_GB2312"/>
          <w:color w:val="auto"/>
          <w:sz w:val="28"/>
          <w:szCs w:val="28"/>
          <w:u w:val="single"/>
        </w:rPr>
      </w:pPr>
    </w:p>
    <w:p>
      <w:pPr>
        <w:spacing w:line="400" w:lineRule="exact"/>
        <w:jc w:val="left"/>
        <w:rPr>
          <w:rFonts w:ascii="仿宋_GB2312" w:hAnsi="仿宋_GB2312" w:eastAsia="仿宋_GB2312" w:cs="仿宋_GB2312"/>
          <w:color w:val="auto"/>
          <w:sz w:val="28"/>
          <w:szCs w:val="28"/>
          <w:u w:val="single"/>
        </w:rPr>
      </w:pPr>
    </w:p>
    <w:p>
      <w:pPr>
        <w:spacing w:line="400" w:lineRule="exact"/>
        <w:jc w:val="left"/>
        <w:rPr>
          <w:rFonts w:ascii="仿宋_GB2312" w:hAnsi="仿宋_GB2312" w:eastAsia="仿宋_GB2312" w:cs="仿宋_GB2312"/>
          <w:color w:val="auto"/>
          <w:sz w:val="28"/>
          <w:szCs w:val="28"/>
          <w:u w:val="single"/>
        </w:rPr>
      </w:pPr>
    </w:p>
    <w:p>
      <w:pPr>
        <w:spacing w:line="400" w:lineRule="exact"/>
        <w:jc w:val="left"/>
        <w:rPr>
          <w:rFonts w:ascii="仿宋_GB2312" w:hAnsi="仿宋_GB2312" w:eastAsia="仿宋_GB2312" w:cs="仿宋_GB2312"/>
          <w:color w:val="auto"/>
          <w:sz w:val="28"/>
          <w:szCs w:val="28"/>
          <w:u w:val="single"/>
        </w:rPr>
      </w:pPr>
    </w:p>
    <w:p>
      <w:pPr>
        <w:spacing w:line="400" w:lineRule="exact"/>
        <w:jc w:val="left"/>
        <w:rPr>
          <w:rFonts w:ascii="仿宋_GB2312" w:hAnsi="仿宋_GB2312" w:eastAsia="仿宋_GB2312" w:cs="仿宋_GB2312"/>
          <w:color w:val="auto"/>
          <w:sz w:val="28"/>
          <w:szCs w:val="28"/>
          <w:u w:val="single"/>
        </w:rPr>
      </w:pPr>
    </w:p>
    <w:p>
      <w:pPr>
        <w:spacing w:line="400" w:lineRule="exac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bookmarkEnd w:id="13"/>
      <w:bookmarkEnd w:id="14"/>
      <w:r>
        <w:rPr>
          <w:rFonts w:hint="eastAsia" w:ascii="仿宋_GB2312" w:hAnsi="仿宋_GB2312" w:eastAsia="仿宋_GB2312" w:cs="仿宋_GB2312"/>
          <w:color w:val="auto"/>
          <w:sz w:val="28"/>
          <w:szCs w:val="28"/>
        </w:rPr>
        <w:t xml:space="preserve">                供应商名称（盖章）：</w:t>
      </w:r>
    </w:p>
    <w:p>
      <w:pPr>
        <w:spacing w:line="460" w:lineRule="exact"/>
        <w:ind w:firstLine="0"/>
        <w:jc w:val="right"/>
        <w:rPr>
          <w:rFonts w:ascii="仿宋_GB2312" w:hAnsi="仿宋_GB2312" w:eastAsia="仿宋_GB2312" w:cs="仿宋_GB2312"/>
          <w:color w:val="auto"/>
          <w:sz w:val="28"/>
          <w:szCs w:val="28"/>
        </w:rPr>
      </w:pPr>
    </w:p>
    <w:p>
      <w:pPr>
        <w:spacing w:line="460" w:lineRule="exact"/>
        <w:ind w:firstLine="0"/>
        <w:jc w:val="righ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授权代表（签字）：</w:t>
      </w:r>
    </w:p>
    <w:p>
      <w:pPr>
        <w:spacing w:line="460" w:lineRule="exact"/>
        <w:ind w:firstLine="0"/>
        <w:jc w:val="righ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    期：</w:t>
      </w:r>
    </w:p>
    <w:p>
      <w:pPr>
        <w:spacing w:line="400" w:lineRule="exact"/>
        <w:ind w:firstLine="0"/>
        <w:jc w:val="left"/>
        <w:rPr>
          <w:rFonts w:ascii="Times New Roman" w:hAnsi="Times New Roman" w:eastAsia="仿宋_GB2312" w:cs="Times New Roman"/>
          <w:bCs/>
          <w:color w:val="auto"/>
          <w:sz w:val="40"/>
          <w:szCs w:val="44"/>
        </w:rPr>
        <w:sectPr>
          <w:headerReference r:id="rId9" w:type="first"/>
          <w:headerReference r:id="rId8" w:type="default"/>
          <w:footerReference r:id="rId10" w:type="default"/>
          <w:pgSz w:w="11906" w:h="16838"/>
          <w:pgMar w:top="1418" w:right="1555" w:bottom="1418" w:left="1531" w:header="851" w:footer="992" w:gutter="0"/>
          <w:pgNumType w:start="0"/>
          <w:cols w:space="720" w:num="1"/>
          <w:titlePg/>
          <w:docGrid w:type="lines" w:linePitch="312" w:charSpace="0"/>
        </w:sectPr>
      </w:pPr>
    </w:p>
    <w:p>
      <w:pPr>
        <w:spacing w:line="400" w:lineRule="exact"/>
        <w:ind w:firstLine="0"/>
        <w:jc w:val="left"/>
        <w:rPr>
          <w:rFonts w:ascii="Times New Roman" w:hAnsi="Times New Roman" w:eastAsia="仿宋_GB2312" w:cs="Times New Roman"/>
          <w:bCs/>
          <w:color w:val="auto"/>
          <w:sz w:val="40"/>
          <w:szCs w:val="44"/>
        </w:rPr>
      </w:pPr>
      <w:r>
        <w:rPr>
          <w:rFonts w:hint="eastAsia" w:ascii="Times New Roman" w:hAnsi="Times New Roman" w:eastAsia="仿宋_GB2312" w:cs="Times New Roman"/>
          <w:bCs/>
          <w:color w:val="auto"/>
          <w:sz w:val="40"/>
          <w:szCs w:val="44"/>
        </w:rPr>
        <w:t xml:space="preserve">第六章 </w:t>
      </w:r>
      <w:r>
        <w:rPr>
          <w:rFonts w:ascii="Times New Roman" w:hAnsi="Times New Roman" w:eastAsia="仿宋_GB2312" w:cs="Times New Roman"/>
          <w:bCs/>
          <w:color w:val="auto"/>
          <w:sz w:val="40"/>
          <w:szCs w:val="44"/>
        </w:rPr>
        <w:t>采购合同（</w:t>
      </w:r>
      <w:r>
        <w:rPr>
          <w:rFonts w:hint="eastAsia" w:ascii="Times New Roman" w:hAnsi="Times New Roman" w:eastAsia="仿宋_GB2312" w:cs="Times New Roman"/>
          <w:bCs/>
          <w:color w:val="auto"/>
          <w:sz w:val="40"/>
          <w:szCs w:val="44"/>
        </w:rPr>
        <w:t>草案</w:t>
      </w:r>
      <w:r>
        <w:rPr>
          <w:rFonts w:ascii="Times New Roman" w:hAnsi="Times New Roman" w:eastAsia="仿宋_GB2312" w:cs="Times New Roman"/>
          <w:bCs/>
          <w:color w:val="auto"/>
          <w:sz w:val="40"/>
          <w:szCs w:val="44"/>
        </w:rPr>
        <w:t>）</w:t>
      </w:r>
    </w:p>
    <w:p>
      <w:pPr>
        <w:adjustRightInd w:val="0"/>
        <w:snapToGrid w:val="0"/>
        <w:jc w:val="center"/>
        <w:rPr>
          <w:b/>
          <w:snapToGrid w:val="0"/>
          <w:sz w:val="20"/>
          <w:szCs w:val="20"/>
        </w:rPr>
      </w:pPr>
    </w:p>
    <w:p>
      <w:pPr>
        <w:jc w:val="center"/>
        <w:rPr>
          <w:rFonts w:ascii="仿宋" w:hAnsi="仿宋"/>
          <w:b/>
          <w:sz w:val="72"/>
          <w:szCs w:val="72"/>
        </w:rPr>
      </w:pPr>
      <w:r>
        <w:rPr>
          <w:rFonts w:ascii="仿宋" w:hAnsi="仿宋"/>
          <w:b/>
          <w:sz w:val="72"/>
          <w:szCs w:val="72"/>
        </w:rPr>
        <w:t>建设工程</w:t>
      </w:r>
      <w:r>
        <w:rPr>
          <w:rFonts w:hint="eastAsia" w:ascii="仿宋" w:hAnsi="仿宋"/>
          <w:b/>
          <w:sz w:val="72"/>
          <w:szCs w:val="72"/>
        </w:rPr>
        <w:t>造价咨询</w:t>
      </w:r>
      <w:r>
        <w:rPr>
          <w:rFonts w:ascii="仿宋" w:hAnsi="仿宋"/>
          <w:b/>
          <w:sz w:val="72"/>
          <w:szCs w:val="72"/>
        </w:rPr>
        <w:t>合同</w:t>
      </w:r>
    </w:p>
    <w:p>
      <w:pPr>
        <w:jc w:val="center"/>
        <w:rPr>
          <w:rFonts w:ascii="仿宋" w:hAnsi="仿宋"/>
          <w:bCs/>
          <w:sz w:val="48"/>
          <w:szCs w:val="48"/>
        </w:rPr>
      </w:pPr>
      <w:r>
        <w:rPr>
          <w:rFonts w:hint="eastAsia" w:ascii="仿宋" w:hAnsi="仿宋"/>
          <w:b/>
          <w:sz w:val="32"/>
          <w:szCs w:val="32"/>
        </w:rPr>
        <w:t>（标准模板试行版）</w:t>
      </w:r>
    </w:p>
    <w:p>
      <w:pPr>
        <w:jc w:val="center"/>
        <w:rPr>
          <w:rFonts w:ascii="仿宋" w:hAnsi="仿宋"/>
          <w:b/>
          <w:sz w:val="52"/>
          <w:szCs w:val="52"/>
        </w:rPr>
      </w:pPr>
    </w:p>
    <w:p>
      <w:pPr>
        <w:jc w:val="center"/>
        <w:rPr>
          <w:rFonts w:ascii="仿宋" w:hAnsi="仿宋"/>
          <w:b/>
          <w:sz w:val="72"/>
          <w:szCs w:val="72"/>
        </w:rPr>
      </w:pPr>
    </w:p>
    <w:p>
      <w:pPr>
        <w:jc w:val="center"/>
        <w:rPr>
          <w:rFonts w:ascii="仿宋" w:hAnsi="仿宋"/>
          <w:b/>
          <w:sz w:val="72"/>
          <w:szCs w:val="72"/>
        </w:rPr>
      </w:pPr>
    </w:p>
    <w:p>
      <w:pPr>
        <w:jc w:val="center"/>
        <w:rPr>
          <w:rFonts w:ascii="仿宋" w:hAnsi="仿宋"/>
          <w:b/>
          <w:sz w:val="52"/>
          <w:szCs w:val="52"/>
        </w:rPr>
      </w:pPr>
    </w:p>
    <w:p>
      <w:pPr>
        <w:rPr>
          <w:rFonts w:ascii="仿宋" w:hAnsi="仿宋"/>
          <w:b/>
          <w:sz w:val="28"/>
          <w:szCs w:val="28"/>
        </w:rPr>
      </w:pPr>
    </w:p>
    <w:p>
      <w:pPr>
        <w:rPr>
          <w:rFonts w:ascii="仿宋" w:hAnsi="仿宋"/>
          <w:b/>
          <w:sz w:val="28"/>
          <w:szCs w:val="28"/>
        </w:rPr>
      </w:pPr>
    </w:p>
    <w:p>
      <w:pPr>
        <w:ind w:right="3108" w:rightChars="1295"/>
        <w:jc w:val="distribute"/>
        <w:rPr>
          <w:rFonts w:ascii="仿宋" w:hAnsi="仿宋"/>
          <w:b/>
          <w:sz w:val="32"/>
          <w:szCs w:val="28"/>
        </w:rPr>
      </w:pPr>
      <w:r>
        <w:rPr>
          <w:rFonts w:ascii="仿宋" w:hAnsi="仿宋"/>
        </w:rPr>
        <mc:AlternateContent>
          <mc:Choice Requires="wps">
            <w:drawing>
              <wp:anchor distT="0" distB="0" distL="114300" distR="114300" simplePos="0" relativeHeight="251660288"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0288;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BMA6w8EAgAADAQAAA4AAAAAAAAAAQAgAAAAJwEA&#10;AGRycy9lMm9Eb2MueG1sUEsFBgAAAAAGAAYAWQEAAJ0FAAAAAA==&#10;">
                <v:fill on="f" focussize="0,0"/>
                <v:stroke color="#FFFFFF" joinstyle="miter"/>
                <v:imagedata o:title=""/>
                <o:lock v:ext="edit" aspectratio="f"/>
                <v:textbox>
                  <w:txbxContent>
                    <w:p>
                      <w:pPr>
                        <w:rPr>
                          <w:b/>
                          <w:bCs/>
                          <w:sz w:val="32"/>
                        </w:rPr>
                      </w:pPr>
                      <w:r>
                        <w:rPr>
                          <w:rFonts w:hint="eastAsia"/>
                          <w:b/>
                          <w:bCs/>
                          <w:sz w:val="32"/>
                        </w:rPr>
                        <w:t>制定</w:t>
                      </w:r>
                    </w:p>
                  </w:txbxContent>
                </v:textbox>
              </v:shape>
            </w:pict>
          </mc:Fallback>
        </mc:AlternateContent>
      </w:r>
      <w:r>
        <w:rPr>
          <w:rFonts w:hint="eastAsia" w:ascii="仿宋" w:hAnsi="仿宋"/>
          <w:b/>
          <w:sz w:val="32"/>
          <w:szCs w:val="28"/>
        </w:rPr>
        <w:t xml:space="preserve">            </w:t>
      </w:r>
      <w:r>
        <w:rPr>
          <w:rFonts w:ascii="仿宋" w:hAnsi="仿宋"/>
          <w:b/>
          <w:sz w:val="32"/>
          <w:szCs w:val="28"/>
        </w:rPr>
        <w:t>住房和城乡建设部</w:t>
      </w:r>
    </w:p>
    <w:p>
      <w:pPr>
        <w:ind w:right="3108" w:rightChars="1295"/>
        <w:jc w:val="distribute"/>
        <w:rPr>
          <w:rFonts w:ascii="仿宋" w:hAnsi="仿宋"/>
          <w:b/>
          <w:sz w:val="32"/>
          <w:szCs w:val="28"/>
        </w:rPr>
      </w:pPr>
      <w:r>
        <w:rPr>
          <w:rFonts w:hint="eastAsia" w:ascii="仿宋" w:hAnsi="仿宋"/>
          <w:b/>
          <w:sz w:val="32"/>
          <w:szCs w:val="28"/>
        </w:rPr>
        <w:t xml:space="preserve">            </w:t>
      </w:r>
      <w:r>
        <w:rPr>
          <w:rFonts w:ascii="仿宋" w:hAnsi="仿宋"/>
          <w:b/>
          <w:sz w:val="32"/>
          <w:szCs w:val="28"/>
        </w:rPr>
        <w:t>国家工商行政管理</w:t>
      </w:r>
      <w:r>
        <w:rPr>
          <w:rFonts w:hint="eastAsia" w:ascii="仿宋" w:hAnsi="仿宋"/>
          <w:b/>
          <w:sz w:val="32"/>
          <w:szCs w:val="28"/>
        </w:rPr>
        <w:t>总</w:t>
      </w:r>
      <w:r>
        <w:rPr>
          <w:rFonts w:ascii="仿宋" w:hAnsi="仿宋"/>
          <w:b/>
          <w:sz w:val="32"/>
          <w:szCs w:val="28"/>
        </w:rPr>
        <w:t>局</w:t>
      </w:r>
    </w:p>
    <w:p>
      <w:pPr>
        <w:rPr>
          <w:rFonts w:ascii="仿宋" w:hAnsi="仿宋"/>
          <w:b/>
        </w:rPr>
      </w:pPr>
    </w:p>
    <w:p>
      <w:pPr>
        <w:rPr>
          <w:rFonts w:ascii="仿宋" w:hAnsi="仿宋"/>
          <w:sz w:val="30"/>
          <w:szCs w:val="30"/>
        </w:rPr>
        <w:sectPr>
          <w:pgSz w:w="11906" w:h="16838"/>
          <w:pgMar w:top="1418" w:right="1555" w:bottom="1418" w:left="1531" w:header="851" w:footer="992" w:gutter="0"/>
          <w:pgNumType w:start="0"/>
          <w:cols w:space="720" w:num="1"/>
          <w:titlePg/>
          <w:docGrid w:type="lines" w:linePitch="312" w:charSpace="0"/>
        </w:sectPr>
      </w:pPr>
    </w:p>
    <w:p>
      <w:pPr>
        <w:pStyle w:val="4"/>
        <w:widowControl/>
        <w:spacing w:line="440" w:lineRule="exact"/>
        <w:ind w:firstLine="0"/>
        <w:rPr>
          <w:sz w:val="30"/>
          <w:szCs w:val="30"/>
        </w:rPr>
      </w:pPr>
      <w:bookmarkStart w:id="15" w:name="_Toc101431652"/>
      <w:r>
        <w:rPr>
          <w:rFonts w:hint="eastAsia"/>
          <w:sz w:val="30"/>
          <w:szCs w:val="30"/>
        </w:rPr>
        <w:t>第一部分　协议书</w:t>
      </w:r>
      <w:bookmarkEnd w:id="15"/>
    </w:p>
    <w:p>
      <w:pPr>
        <w:spacing w:line="440" w:lineRule="exact"/>
      </w:pPr>
    </w:p>
    <w:p>
      <w:pPr>
        <w:pStyle w:val="55"/>
        <w:spacing w:line="440" w:lineRule="exact"/>
        <w:ind w:firstLine="560" w:firstLineChars="200"/>
        <w:jc w:val="left"/>
        <w:rPr>
          <w:rFonts w:ascii="仿宋_GB2312" w:hAnsi="仿宋_GB2312" w:eastAsia="仿宋_GB2312" w:cs="仿宋_GB2312"/>
          <w:color w:val="auto"/>
          <w:sz w:val="28"/>
          <w:szCs w:val="28"/>
        </w:rPr>
      </w:pPr>
      <w:bookmarkStart w:id="16" w:name="7"/>
      <w:r>
        <w:rPr>
          <w:rFonts w:hint="eastAsia" w:ascii="仿宋_GB2312" w:hAnsi="仿宋_GB2312" w:eastAsia="仿宋_GB2312" w:cs="仿宋_GB2312"/>
          <w:color w:val="auto"/>
          <w:sz w:val="28"/>
          <w:szCs w:val="28"/>
        </w:rPr>
        <w:t>委托人（全称）：</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咨询人（全称）：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w:t>
      </w:r>
      <w:r>
        <w:fldChar w:fldCharType="begin"/>
      </w:r>
      <w:r>
        <w:instrText xml:space="preserve"> HYPERLINK "javascript:SLC(21651,0)" </w:instrText>
      </w:r>
      <w:r>
        <w:fldChar w:fldCharType="separate"/>
      </w:r>
      <w:r>
        <w:rPr>
          <w:rFonts w:hint="eastAsia" w:ascii="仿宋_GB2312" w:hAnsi="仿宋_GB2312" w:eastAsia="仿宋_GB2312" w:cs="仿宋_GB2312"/>
          <w:color w:val="auto"/>
          <w:sz w:val="28"/>
          <w:szCs w:val="28"/>
        </w:rPr>
        <w:t>中华人民共和国民</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法典》及其他有关法律、法规，遵循平等、自愿、公平和诚实信用的原则，双方就下述建设工程委托造价咨询与其他服务事项协商一致，订立本合同。</w:t>
      </w:r>
    </w:p>
    <w:p>
      <w:pPr>
        <w:spacing w:line="440" w:lineRule="exact"/>
        <w:ind w:left="480" w:leftChars="200" w:firstLine="0"/>
        <w:rPr>
          <w:rFonts w:ascii="仿宋_GB2312" w:hAnsi="仿宋_GB2312" w:eastAsia="仿宋_GB2312" w:cs="仿宋_GB2312"/>
          <w:b/>
          <w:bCs/>
          <w:color w:val="auto"/>
          <w:sz w:val="28"/>
          <w:szCs w:val="28"/>
        </w:rPr>
      </w:pPr>
      <w:bookmarkStart w:id="17" w:name="_Toc422322471"/>
      <w:bookmarkStart w:id="18" w:name="_Toc419045056"/>
      <w:r>
        <w:rPr>
          <w:rFonts w:hint="eastAsia" w:ascii="仿宋_GB2312" w:hAnsi="仿宋_GB2312" w:eastAsia="仿宋_GB2312" w:cs="仿宋_GB2312"/>
          <w:b/>
          <w:bCs/>
          <w:color w:val="auto"/>
          <w:sz w:val="28"/>
          <w:szCs w:val="28"/>
        </w:rPr>
        <w:t>1.项目概况</w:t>
      </w:r>
      <w:bookmarkEnd w:id="17"/>
    </w:p>
    <w:p>
      <w:pPr>
        <w:spacing w:line="440" w:lineRule="exact"/>
        <w:ind w:left="480" w:leftChars="200" w:firstLine="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1.1项目名称：</w:t>
      </w:r>
      <w:r>
        <w:rPr>
          <w:rFonts w:hint="eastAsia" w:ascii="仿宋_GB2312" w:hAnsi="仿宋_GB2312" w:eastAsia="仿宋_GB2312" w:cs="仿宋_GB2312"/>
          <w:color w:val="auto"/>
          <w:sz w:val="28"/>
          <w:szCs w:val="28"/>
          <w:u w:val="single"/>
        </w:rPr>
        <w:t xml:space="preserve">  </w:t>
      </w:r>
    </w:p>
    <w:p>
      <w:pPr>
        <w:spacing w:line="440" w:lineRule="exact"/>
        <w:ind w:left="480" w:leftChars="200"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1.2项目概述：</w:t>
      </w:r>
      <w:bookmarkEnd w:id="18"/>
      <w:r>
        <w:rPr>
          <w:rFonts w:hint="eastAsia" w:ascii="仿宋_GB2312" w:hAnsi="仿宋_GB2312" w:eastAsia="仿宋_GB2312" w:cs="仿宋_GB2312"/>
          <w:color w:val="auto"/>
          <w:sz w:val="28"/>
          <w:szCs w:val="28"/>
          <w:u w:val="single"/>
        </w:rPr>
        <w:t xml:space="preserve">  </w:t>
      </w:r>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工程内容具体包括道路、桥涵、路基防护、交通工程、管线和排水、照明和其他附属工程。</w:t>
      </w:r>
    </w:p>
    <w:bookmarkEnd w:id="16"/>
    <w:p>
      <w:pPr>
        <w:pStyle w:val="18"/>
        <w:numPr>
          <w:ilvl w:val="0"/>
          <w:numId w:val="5"/>
        </w:numPr>
        <w:spacing w:before="0" w:after="0" w:line="440" w:lineRule="exact"/>
        <w:ind w:left="480" w:firstLine="0"/>
        <w:jc w:val="left"/>
        <w:rPr>
          <w:rFonts w:ascii="仿宋_GB2312" w:hAnsi="仿宋_GB2312" w:eastAsia="仿宋_GB2312" w:cs="仿宋_GB2312"/>
          <w:color w:val="auto"/>
          <w:sz w:val="28"/>
          <w:szCs w:val="28"/>
        </w:rPr>
      </w:pPr>
      <w:bookmarkStart w:id="19" w:name="_Toc101431653"/>
      <w:bookmarkStart w:id="20" w:name="_Toc419045059"/>
      <w:bookmarkStart w:id="21" w:name="_Toc422322472"/>
      <w:r>
        <w:rPr>
          <w:rFonts w:hint="eastAsia" w:ascii="仿宋_GB2312" w:hAnsi="仿宋_GB2312" w:eastAsia="仿宋_GB2312" w:cs="仿宋_GB2312"/>
          <w:color w:val="auto"/>
          <w:sz w:val="28"/>
          <w:szCs w:val="28"/>
        </w:rPr>
        <w:t>服务范围</w:t>
      </w:r>
      <w:bookmarkEnd w:id="19"/>
    </w:p>
    <w:p>
      <w:pPr>
        <w:pStyle w:val="18"/>
        <w:numPr>
          <w:ilvl w:val="0"/>
          <w:numId w:val="5"/>
        </w:numPr>
        <w:spacing w:before="0" w:after="0" w:line="440" w:lineRule="exact"/>
        <w:ind w:left="480" w:firstLine="0"/>
        <w:jc w:val="left"/>
        <w:rPr>
          <w:rFonts w:ascii="仿宋_GB2312" w:hAnsi="仿宋_GB2312" w:eastAsia="仿宋_GB2312" w:cs="仿宋_GB2312"/>
          <w:color w:val="auto"/>
          <w:sz w:val="28"/>
          <w:szCs w:val="28"/>
        </w:rPr>
      </w:pPr>
      <w:bookmarkStart w:id="22" w:name="_Toc101431654"/>
      <w:r>
        <w:rPr>
          <w:rFonts w:hint="eastAsia" w:ascii="仿宋_GB2312" w:hAnsi="仿宋_GB2312" w:eastAsia="仿宋_GB2312" w:cs="仿宋_GB2312"/>
          <w:color w:val="auto"/>
          <w:sz w:val="28"/>
          <w:szCs w:val="28"/>
        </w:rPr>
        <w:t>工作内容</w:t>
      </w:r>
      <w:bookmarkEnd w:id="20"/>
      <w:bookmarkEnd w:id="21"/>
      <w:bookmarkEnd w:id="22"/>
    </w:p>
    <w:p>
      <w:pPr>
        <w:pStyle w:val="18"/>
        <w:spacing w:before="0" w:after="0" w:line="440" w:lineRule="exact"/>
        <w:ind w:firstLine="562" w:firstLineChars="200"/>
        <w:jc w:val="left"/>
        <w:rPr>
          <w:rFonts w:ascii="仿宋_GB2312" w:hAnsi="仿宋_GB2312" w:eastAsia="仿宋_GB2312" w:cs="仿宋_GB2312"/>
          <w:color w:val="auto"/>
          <w:sz w:val="28"/>
          <w:szCs w:val="28"/>
        </w:rPr>
      </w:pPr>
      <w:bookmarkStart w:id="23" w:name="_Toc419045061"/>
      <w:bookmarkStart w:id="24" w:name="_Toc422322474"/>
      <w:bookmarkStart w:id="25" w:name="_Toc101431655"/>
      <w:r>
        <w:rPr>
          <w:rFonts w:hint="eastAsia" w:ascii="仿宋_GB2312" w:hAnsi="仿宋_GB2312" w:eastAsia="仿宋_GB2312" w:cs="仿宋_GB2312"/>
          <w:color w:val="auto"/>
          <w:sz w:val="28"/>
          <w:szCs w:val="28"/>
        </w:rPr>
        <w:t>4.验收标准</w:t>
      </w:r>
      <w:bookmarkEnd w:id="23"/>
      <w:bookmarkEnd w:id="24"/>
      <w:bookmarkEnd w:id="25"/>
    </w:p>
    <w:p>
      <w:pPr>
        <w:pStyle w:val="18"/>
        <w:spacing w:before="0" w:after="0" w:line="440" w:lineRule="exact"/>
        <w:ind w:firstLine="560" w:firstLineChars="200"/>
        <w:jc w:val="left"/>
        <w:rPr>
          <w:rFonts w:ascii="仿宋_GB2312" w:hAnsi="仿宋_GB2312" w:eastAsia="仿宋_GB2312" w:cs="仿宋_GB2312"/>
          <w:b w:val="0"/>
          <w:bCs w:val="0"/>
          <w:sz w:val="28"/>
          <w:szCs w:val="28"/>
        </w:rPr>
      </w:pPr>
      <w:bookmarkStart w:id="26" w:name="_Toc101431656"/>
      <w:bookmarkStart w:id="27" w:name="_Toc422322475"/>
      <w:bookmarkStart w:id="28" w:name="_Toc419045062"/>
      <w:bookmarkStart w:id="29" w:name="12"/>
      <w:r>
        <w:rPr>
          <w:rFonts w:hint="eastAsia" w:ascii="仿宋_GB2312" w:hAnsi="仿宋_GB2312" w:eastAsia="仿宋_GB2312" w:cs="仿宋_GB2312"/>
          <w:b w:val="0"/>
          <w:bCs w:val="0"/>
          <w:sz w:val="28"/>
          <w:szCs w:val="28"/>
        </w:rPr>
        <w:t>符合国家（或行业）相关标准并通过采购人组织的验收考核。</w:t>
      </w:r>
      <w:bookmarkEnd w:id="26"/>
    </w:p>
    <w:p>
      <w:pPr>
        <w:pStyle w:val="18"/>
        <w:spacing w:before="0" w:after="0" w:line="440" w:lineRule="exact"/>
        <w:ind w:firstLine="562" w:firstLineChars="200"/>
        <w:jc w:val="left"/>
        <w:rPr>
          <w:rFonts w:ascii="仿宋_GB2312" w:hAnsi="仿宋_GB2312" w:eastAsia="仿宋_GB2312" w:cs="仿宋_GB2312"/>
          <w:color w:val="auto"/>
          <w:sz w:val="28"/>
          <w:szCs w:val="28"/>
        </w:rPr>
      </w:pPr>
      <w:bookmarkStart w:id="30" w:name="_Toc101431657"/>
      <w:r>
        <w:rPr>
          <w:rFonts w:hint="eastAsia" w:ascii="仿宋_GB2312" w:hAnsi="仿宋_GB2312" w:eastAsia="仿宋_GB2312" w:cs="仿宋_GB2312"/>
          <w:color w:val="auto"/>
          <w:sz w:val="28"/>
          <w:szCs w:val="28"/>
        </w:rPr>
        <w:t>5.酬金或计取方式</w:t>
      </w:r>
      <w:bookmarkEnd w:id="27"/>
      <w:bookmarkEnd w:id="28"/>
      <w:r>
        <w:rPr>
          <w:rFonts w:hint="eastAsia" w:ascii="仿宋_GB2312" w:hAnsi="仿宋_GB2312" w:eastAsia="仿宋_GB2312" w:cs="仿宋_GB2312"/>
          <w:color w:val="auto"/>
          <w:sz w:val="28"/>
          <w:szCs w:val="28"/>
        </w:rPr>
        <w:t>。</w:t>
      </w:r>
      <w:bookmarkEnd w:id="30"/>
    </w:p>
    <w:p>
      <w:pPr>
        <w:pStyle w:val="55"/>
        <w:spacing w:line="440" w:lineRule="exact"/>
        <w:ind w:left="557" w:leftChars="232" w:firstLine="0"/>
        <w:jc w:val="left"/>
        <w:rPr>
          <w:rFonts w:ascii="仿宋_GB2312" w:hAnsi="仿宋_GB2312" w:eastAsia="仿宋_GB2312" w:cs="仿宋_GB2312"/>
          <w:b/>
          <w:bCs/>
          <w:color w:val="auto"/>
          <w:sz w:val="28"/>
          <w:szCs w:val="28"/>
        </w:rPr>
      </w:pPr>
      <w:bookmarkStart w:id="31" w:name="_Toc422322476"/>
      <w:bookmarkStart w:id="32" w:name="_Toc419045058"/>
      <w:r>
        <w:rPr>
          <w:rFonts w:hint="eastAsia" w:ascii="仿宋_GB2312" w:hAnsi="仿宋_GB2312" w:eastAsia="仿宋_GB2312" w:cs="仿宋_GB2312"/>
          <w:b/>
          <w:bCs/>
          <w:color w:val="auto"/>
          <w:sz w:val="28"/>
          <w:szCs w:val="28"/>
        </w:rPr>
        <w:t>6.合同文件的构成</w:t>
      </w:r>
      <w:bookmarkEnd w:id="31"/>
      <w:bookmarkEnd w:id="32"/>
    </w:p>
    <w:p>
      <w:pPr>
        <w:pStyle w:val="55"/>
        <w:spacing w:line="440" w:lineRule="exact"/>
        <w:ind w:left="557" w:leftChars="232"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本协议书与下列文件一起构成合同文件:</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6.1成交通知书或委托书（如果有）；</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6.2投标函及投标函附录或造价咨询服务建议书；</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6.3专用条件及附录；</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6.4通用条件；</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6.5其他合同文件。</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上述各项合同文件包括合同当事人就该项合同文件所做出的补充和修改，属于同一类内容的文件，应以最新签署的为准。</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在合同订立及履行过程中形成的与合同有关的文件（包括补充协议）均构成合同文件的组成部分。</w:t>
      </w:r>
    </w:p>
    <w:p>
      <w:pPr>
        <w:pStyle w:val="18"/>
        <w:spacing w:before="0" w:after="0" w:line="440" w:lineRule="exact"/>
        <w:ind w:firstLine="562" w:firstLineChars="200"/>
        <w:jc w:val="left"/>
        <w:rPr>
          <w:rFonts w:ascii="仿宋_GB2312" w:hAnsi="仿宋_GB2312" w:eastAsia="仿宋_GB2312" w:cs="仿宋_GB2312"/>
          <w:color w:val="auto"/>
          <w:sz w:val="28"/>
          <w:szCs w:val="28"/>
        </w:rPr>
      </w:pPr>
      <w:bookmarkStart w:id="33" w:name="_Toc419045057"/>
      <w:bookmarkStart w:id="34" w:name="_Toc101431658"/>
      <w:bookmarkStart w:id="35" w:name="_Toc422322477"/>
      <w:bookmarkStart w:id="36" w:name="8"/>
      <w:r>
        <w:rPr>
          <w:rFonts w:hint="eastAsia" w:ascii="仿宋_GB2312" w:hAnsi="仿宋_GB2312" w:eastAsia="仿宋_GB2312" w:cs="仿宋_GB2312"/>
          <w:color w:val="auto"/>
          <w:sz w:val="28"/>
          <w:szCs w:val="28"/>
        </w:rPr>
        <w:t>7.词语</w:t>
      </w:r>
      <w:bookmarkEnd w:id="33"/>
      <w:r>
        <w:rPr>
          <w:rFonts w:hint="eastAsia" w:ascii="仿宋_GB2312" w:hAnsi="仿宋_GB2312" w:eastAsia="仿宋_GB2312" w:cs="仿宋_GB2312"/>
          <w:color w:val="auto"/>
          <w:sz w:val="28"/>
          <w:szCs w:val="28"/>
        </w:rPr>
        <w:t>定义</w:t>
      </w:r>
      <w:bookmarkEnd w:id="34"/>
      <w:bookmarkEnd w:id="35"/>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协议书中相关词语的含义与通用条件中的定义与解释相同。</w:t>
      </w:r>
      <w:bookmarkEnd w:id="36"/>
    </w:p>
    <w:p>
      <w:pPr>
        <w:pStyle w:val="18"/>
        <w:spacing w:before="0" w:after="0" w:line="440" w:lineRule="exact"/>
        <w:ind w:firstLine="562" w:firstLineChars="200"/>
        <w:jc w:val="left"/>
        <w:rPr>
          <w:rFonts w:ascii="仿宋_GB2312" w:hAnsi="仿宋_GB2312" w:eastAsia="仿宋_GB2312" w:cs="仿宋_GB2312"/>
          <w:color w:val="auto"/>
          <w:sz w:val="28"/>
          <w:szCs w:val="28"/>
        </w:rPr>
      </w:pPr>
      <w:bookmarkStart w:id="37" w:name="_Toc101431659"/>
      <w:bookmarkStart w:id="38" w:name="_Toc422322478"/>
      <w:bookmarkStart w:id="39" w:name="_Toc419045063"/>
      <w:r>
        <w:rPr>
          <w:rFonts w:hint="eastAsia" w:ascii="仿宋_GB2312" w:hAnsi="仿宋_GB2312" w:eastAsia="仿宋_GB2312" w:cs="仿宋_GB2312"/>
          <w:color w:val="auto"/>
          <w:sz w:val="28"/>
          <w:szCs w:val="28"/>
        </w:rPr>
        <w:t>8.合同订立</w:t>
      </w:r>
      <w:bookmarkEnd w:id="37"/>
      <w:bookmarkEnd w:id="38"/>
      <w:bookmarkEnd w:id="39"/>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8.1订立时间：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8.2订立地点：</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pStyle w:val="18"/>
        <w:spacing w:before="0" w:after="0" w:line="440" w:lineRule="exact"/>
        <w:ind w:firstLine="562" w:firstLineChars="200"/>
        <w:jc w:val="left"/>
        <w:rPr>
          <w:rFonts w:ascii="仿宋_GB2312" w:hAnsi="仿宋_GB2312" w:eastAsia="仿宋_GB2312" w:cs="仿宋_GB2312"/>
          <w:color w:val="auto"/>
          <w:sz w:val="28"/>
          <w:szCs w:val="28"/>
        </w:rPr>
      </w:pPr>
      <w:bookmarkStart w:id="40" w:name="_Toc422322479"/>
      <w:bookmarkStart w:id="41" w:name="_Toc419045064"/>
      <w:bookmarkStart w:id="42" w:name="_Toc101431660"/>
      <w:r>
        <w:rPr>
          <w:rFonts w:hint="eastAsia" w:ascii="仿宋_GB2312" w:hAnsi="仿宋_GB2312" w:eastAsia="仿宋_GB2312" w:cs="仿宋_GB2312"/>
          <w:color w:val="auto"/>
          <w:sz w:val="28"/>
          <w:szCs w:val="28"/>
        </w:rPr>
        <w:t>9.合同生效</w:t>
      </w:r>
      <w:bookmarkEnd w:id="40"/>
      <w:bookmarkEnd w:id="41"/>
      <w:bookmarkEnd w:id="42"/>
    </w:p>
    <w:p>
      <w:pPr>
        <w:pStyle w:val="55"/>
        <w:spacing w:line="440" w:lineRule="exact"/>
        <w:ind w:firstLine="560" w:firstLineChars="200"/>
        <w:rPr>
          <w:rFonts w:ascii="宋体" w:hAnsi="宋体"/>
          <w:sz w:val="24"/>
          <w:szCs w:val="24"/>
        </w:rPr>
      </w:pPr>
      <w:r>
        <w:rPr>
          <w:rFonts w:hint="eastAsia" w:ascii="仿宋_GB2312" w:hAnsi="仿宋_GB2312" w:eastAsia="仿宋_GB2312" w:cs="仿宋_GB2312"/>
          <w:color w:val="auto"/>
          <w:sz w:val="28"/>
          <w:szCs w:val="28"/>
        </w:rPr>
        <w:t xml:space="preserve">本合同自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生效</w:t>
      </w:r>
      <w:r>
        <w:rPr>
          <w:rFonts w:hint="eastAsia" w:ascii="宋体" w:hAnsi="宋体"/>
          <w:sz w:val="24"/>
          <w:szCs w:val="24"/>
        </w:rPr>
        <w:t>。</w:t>
      </w:r>
    </w:p>
    <w:p>
      <w:pPr>
        <w:pStyle w:val="18"/>
        <w:spacing w:before="0" w:after="0" w:line="440" w:lineRule="exact"/>
        <w:ind w:firstLine="562" w:firstLineChars="200"/>
        <w:jc w:val="left"/>
        <w:rPr>
          <w:rFonts w:ascii="仿宋_GB2312" w:hAnsi="仿宋_GB2312" w:eastAsia="仿宋_GB2312" w:cs="仿宋_GB2312"/>
          <w:color w:val="auto"/>
          <w:sz w:val="28"/>
          <w:szCs w:val="28"/>
        </w:rPr>
      </w:pPr>
      <w:bookmarkStart w:id="43" w:name="_Toc101431661"/>
      <w:r>
        <w:rPr>
          <w:rFonts w:hint="eastAsia" w:ascii="仿宋_GB2312" w:hAnsi="仿宋_GB2312" w:eastAsia="仿宋_GB2312" w:cs="仿宋_GB2312"/>
          <w:color w:val="auto"/>
          <w:sz w:val="28"/>
          <w:szCs w:val="28"/>
        </w:rPr>
        <w:t>10、合同份数</w:t>
      </w:r>
      <w:bookmarkEnd w:id="43"/>
    </w:p>
    <w:p>
      <w:pPr>
        <w:pStyle w:val="55"/>
        <w:spacing w:line="440" w:lineRule="exact"/>
        <w:ind w:firstLine="560" w:firstLineChars="200"/>
        <w:rPr>
          <w:rFonts w:ascii="宋体" w:hAnsi="宋体"/>
          <w:sz w:val="24"/>
          <w:szCs w:val="24"/>
        </w:rPr>
      </w:pPr>
      <w:r>
        <w:rPr>
          <w:rFonts w:hint="eastAsia" w:ascii="仿宋_GB2312" w:hAnsi="仿宋_GB2312" w:eastAsia="仿宋_GB2312" w:cs="仿宋_GB2312"/>
          <w:color w:val="auto"/>
          <w:sz w:val="28"/>
          <w:szCs w:val="28"/>
        </w:rPr>
        <w:t>本合同一式</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份，甲方</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份，乙方</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份，具有同等法律效力。</w:t>
      </w:r>
    </w:p>
    <w:p>
      <w:pPr>
        <w:pStyle w:val="55"/>
        <w:spacing w:line="440" w:lineRule="exact"/>
        <w:ind w:firstLine="0"/>
        <w:jc w:val="left"/>
        <w:rPr>
          <w:rFonts w:ascii="仿宋_GB2312" w:hAnsi="仿宋_GB2312" w:eastAsia="仿宋_GB2312" w:cs="仿宋_GB2312"/>
          <w:color w:val="auto"/>
          <w:sz w:val="28"/>
          <w:szCs w:val="28"/>
        </w:rPr>
      </w:pPr>
    </w:p>
    <w:p>
      <w:pPr>
        <w:pStyle w:val="55"/>
        <w:spacing w:line="440" w:lineRule="exact"/>
        <w:ind w:firstLine="0"/>
        <w:jc w:val="left"/>
        <w:rPr>
          <w:rFonts w:ascii="仿宋_GB2312" w:hAnsi="仿宋_GB2312" w:eastAsia="仿宋_GB2312" w:cs="仿宋_GB2312"/>
          <w:color w:val="auto"/>
          <w:sz w:val="28"/>
          <w:szCs w:val="28"/>
        </w:rPr>
      </w:pPr>
    </w:p>
    <w:p>
      <w:pPr>
        <w:pStyle w:val="55"/>
        <w:spacing w:line="440" w:lineRule="exact"/>
        <w:ind w:firstLine="0"/>
        <w:jc w:val="left"/>
        <w:rPr>
          <w:rFonts w:ascii="仿宋_GB2312" w:hAnsi="仿宋_GB2312" w:eastAsia="仿宋_GB2312" w:cs="仿宋_GB2312"/>
          <w:color w:val="auto"/>
          <w:sz w:val="28"/>
          <w:szCs w:val="28"/>
        </w:rPr>
      </w:pPr>
    </w:p>
    <w:p>
      <w:pPr>
        <w:pStyle w:val="55"/>
        <w:spacing w:line="440" w:lineRule="exact"/>
        <w:ind w:firstLine="0"/>
        <w:jc w:val="left"/>
        <w:rPr>
          <w:rFonts w:ascii="仿宋_GB2312" w:hAnsi="仿宋_GB2312" w:eastAsia="仿宋_GB2312" w:cs="仿宋_GB2312"/>
          <w:color w:val="auto"/>
          <w:sz w:val="28"/>
          <w:szCs w:val="28"/>
        </w:rPr>
      </w:pPr>
    </w:p>
    <w:p>
      <w:pPr>
        <w:pStyle w:val="55"/>
        <w:spacing w:line="44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 托 人：                  （盖章）咨询人：          （盖章）</w:t>
      </w:r>
    </w:p>
    <w:p>
      <w:pPr>
        <w:pStyle w:val="55"/>
        <w:spacing w:line="440" w:lineRule="exact"/>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法定代表人/授权代表：              法定代表人/授权代表      </w:t>
      </w:r>
    </w:p>
    <w:p>
      <w:pPr>
        <w:pStyle w:val="55"/>
        <w:spacing w:line="440" w:lineRule="exact"/>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住    所：                         住    所：</w:t>
      </w:r>
    </w:p>
    <w:p>
      <w:pPr>
        <w:pStyle w:val="55"/>
        <w:spacing w:line="44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账    号：                         账    号：</w:t>
      </w:r>
    </w:p>
    <w:p>
      <w:pPr>
        <w:pStyle w:val="55"/>
        <w:spacing w:line="44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开户银行：                         开户银行：</w:t>
      </w:r>
    </w:p>
    <w:p>
      <w:pPr>
        <w:pStyle w:val="55"/>
        <w:spacing w:line="44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邮政编码：                         邮政编码：</w:t>
      </w:r>
    </w:p>
    <w:p>
      <w:pPr>
        <w:pStyle w:val="55"/>
        <w:spacing w:line="44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    话：                         电    话：</w:t>
      </w:r>
    </w:p>
    <w:p>
      <w:pPr>
        <w:pStyle w:val="55"/>
        <w:spacing w:line="44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传    真：                         传    真：</w:t>
      </w:r>
    </w:p>
    <w:p>
      <w:pPr>
        <w:pStyle w:val="55"/>
        <w:spacing w:line="44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电子信箱：                         电子信箱：</w:t>
      </w:r>
    </w:p>
    <w:p>
      <w:pPr>
        <w:ind w:firstLine="0"/>
        <w:rPr>
          <w:rFonts w:ascii="仿宋_GB2312" w:hAnsi="仿宋_GB2312" w:eastAsia="仿宋_GB2312" w:cs="仿宋_GB2312"/>
          <w:color w:val="auto"/>
          <w:sz w:val="28"/>
          <w:szCs w:val="28"/>
        </w:rPr>
      </w:pPr>
    </w:p>
    <w:p>
      <w:pPr>
        <w:spacing w:line="440" w:lineRule="exact"/>
        <w:rPr>
          <w:szCs w:val="24"/>
        </w:rPr>
      </w:pPr>
      <w:r>
        <w:rPr>
          <w:rFonts w:hint="eastAsia"/>
          <w:szCs w:val="24"/>
        </w:rPr>
        <w:br w:type="page"/>
      </w:r>
    </w:p>
    <w:p>
      <w:pPr>
        <w:pStyle w:val="55"/>
        <w:spacing w:line="440" w:lineRule="exact"/>
        <w:jc w:val="center"/>
        <w:rPr>
          <w:b/>
          <w:sz w:val="30"/>
          <w:szCs w:val="30"/>
        </w:rPr>
      </w:pPr>
      <w:r>
        <w:rPr>
          <w:rFonts w:hint="eastAsia"/>
          <w:b/>
          <w:sz w:val="30"/>
          <w:szCs w:val="30"/>
        </w:rPr>
        <w:t>第二部分 通用条件</w:t>
      </w:r>
    </w:p>
    <w:p>
      <w:pPr>
        <w:pStyle w:val="55"/>
        <w:spacing w:line="440" w:lineRule="exact"/>
        <w:ind w:firstLine="562" w:firstLineChars="200"/>
        <w:jc w:val="left"/>
        <w:rPr>
          <w:rFonts w:ascii="仿宋_GB2312" w:hAnsi="仿宋_GB2312" w:eastAsia="仿宋_GB2312" w:cs="仿宋_GB2312"/>
          <w:b/>
          <w:bCs/>
          <w:color w:val="auto"/>
          <w:sz w:val="28"/>
          <w:szCs w:val="28"/>
        </w:rPr>
      </w:pPr>
      <w:bookmarkStart w:id="44" w:name="_Toc422322482"/>
      <w:bookmarkStart w:id="45" w:name="_Toc419045067"/>
      <w:r>
        <w:rPr>
          <w:rFonts w:hint="eastAsia" w:ascii="仿宋_GB2312" w:hAnsi="仿宋_GB2312" w:eastAsia="仿宋_GB2312" w:cs="仿宋_GB2312"/>
          <w:b/>
          <w:bCs/>
          <w:color w:val="auto"/>
          <w:sz w:val="28"/>
          <w:szCs w:val="28"/>
        </w:rPr>
        <w:t>1.词语定义、语言、解释顺序与适用法律</w:t>
      </w:r>
      <w:bookmarkEnd w:id="44"/>
      <w:bookmarkEnd w:id="45"/>
    </w:p>
    <w:p>
      <w:pPr>
        <w:pStyle w:val="55"/>
        <w:spacing w:line="440" w:lineRule="exact"/>
        <w:ind w:firstLine="560" w:firstLineChars="200"/>
        <w:jc w:val="left"/>
        <w:rPr>
          <w:rFonts w:ascii="仿宋_GB2312" w:hAnsi="仿宋_GB2312" w:eastAsia="仿宋_GB2312" w:cs="仿宋_GB2312"/>
          <w:color w:val="auto"/>
          <w:sz w:val="28"/>
          <w:szCs w:val="28"/>
        </w:rPr>
      </w:pPr>
      <w:bookmarkStart w:id="46" w:name="_Toc419045068"/>
      <w:bookmarkStart w:id="47" w:name="_Toc422322483"/>
      <w:r>
        <w:rPr>
          <w:rFonts w:hint="eastAsia" w:ascii="仿宋_GB2312" w:hAnsi="仿宋_GB2312" w:eastAsia="仿宋_GB2312" w:cs="仿宋_GB2312"/>
          <w:color w:val="auto"/>
          <w:sz w:val="28"/>
          <w:szCs w:val="28"/>
        </w:rPr>
        <w:t>1.1词语定义</w:t>
      </w:r>
      <w:bookmarkEnd w:id="46"/>
      <w:bookmarkEnd w:id="47"/>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组成本合同的全部文件中的下列名词和用语应具有本款所赋予的含义：</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1.1.1“工程”是指按照本合同约定实施造价咨询与其他服务的建设工程。    </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1.1.2“工程造价”是指工程项目建设过程中预计或实际支出的全部费用。</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1.1.3“委托人”是指本合同中委托造价咨询与其他服务的一方，及其合法的继承人或受让人。</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1.1.4“咨询人”是指本合同中提供造价咨询与其他服务的一方，及其合法的继承人。</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1.1.5“第三人”是指除委托人、咨询人以外与本咨询业务有关的当事人。</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1.1.6“正常工作”是指本合同订立时通用条件和专用条件中约定的咨询人的工作。</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1.1.7“附加工作”是指咨询人根据合同条件完成的正常工作以外的工作。</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1.1.8“项目咨询团队”是指咨询人指派负责履行本合同的团队，其团队成员为本合同的项目咨询人员。</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1.1.9“项目负责人”是指由咨询人的法定代表人书面授权，在授权范围内负责履行本合同、主持项目咨询团队工作的负责人。</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1.1.10“委托人代表”是指由委托人的法定代表人书面授权，在授权范围内行使委托人权利的人。</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1.1.11“酬金”是指咨询人履行本合同义务，委托人按照本合同约定给付咨询人的金额。</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1.1.12“正常工作酬金”是指在协议书中载明的，咨询人完成正常工作，委托人应给付咨询人的酬金。</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1.1.13“附加工作酬金”是指咨询人完成附加工作，委托人应给付咨询人的酬金。</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1.1.14 “书面形式”是指合同书、信件和数据电文（包括电报、电传、传真、电子数据交换和电子邮件）等可以有形地表现所载内容的形式。</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1.1.15 “不可抗力”是指委托人和咨询人在订立本合同时不可预见，在合同履行过程中不可避免并不能克服的自然灾害和社会性突发事件，如地震、海啸、瘟疫、水灾、骚乱、暴动、战争等情形。</w:t>
      </w:r>
    </w:p>
    <w:p>
      <w:pPr>
        <w:pStyle w:val="55"/>
        <w:spacing w:line="440" w:lineRule="exact"/>
        <w:ind w:firstLine="560" w:firstLineChars="200"/>
        <w:jc w:val="left"/>
        <w:rPr>
          <w:rFonts w:ascii="仿宋_GB2312" w:hAnsi="仿宋_GB2312" w:eastAsia="仿宋_GB2312" w:cs="仿宋_GB2312"/>
          <w:color w:val="auto"/>
          <w:sz w:val="28"/>
          <w:szCs w:val="28"/>
        </w:rPr>
      </w:pPr>
      <w:bookmarkStart w:id="48" w:name="_Toc422322484"/>
      <w:bookmarkStart w:id="49" w:name="_Toc419045069"/>
      <w:r>
        <w:rPr>
          <w:rFonts w:hint="eastAsia" w:ascii="仿宋_GB2312" w:hAnsi="仿宋_GB2312" w:eastAsia="仿宋_GB2312" w:cs="仿宋_GB2312"/>
          <w:color w:val="auto"/>
          <w:sz w:val="28"/>
          <w:szCs w:val="28"/>
        </w:rPr>
        <w:t>1.2语言</w:t>
      </w:r>
      <w:bookmarkEnd w:id="48"/>
      <w:bookmarkEnd w:id="49"/>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本合同使用中文书写、解释和说明。如专用条件约定使用两种及以上语言文字时，应以中文为准。</w:t>
      </w:r>
    </w:p>
    <w:p>
      <w:pPr>
        <w:pStyle w:val="55"/>
        <w:spacing w:line="440" w:lineRule="exact"/>
        <w:ind w:firstLine="560" w:firstLineChars="200"/>
        <w:jc w:val="left"/>
        <w:rPr>
          <w:rFonts w:ascii="仿宋_GB2312" w:hAnsi="仿宋_GB2312" w:eastAsia="仿宋_GB2312" w:cs="仿宋_GB2312"/>
          <w:color w:val="auto"/>
          <w:sz w:val="28"/>
          <w:szCs w:val="28"/>
        </w:rPr>
      </w:pPr>
      <w:bookmarkStart w:id="50" w:name="_Toc419045070"/>
      <w:bookmarkStart w:id="51" w:name="_Toc422322485"/>
      <w:r>
        <w:rPr>
          <w:rFonts w:hint="eastAsia" w:ascii="仿宋_GB2312" w:hAnsi="仿宋_GB2312" w:eastAsia="仿宋_GB2312" w:cs="仿宋_GB2312"/>
          <w:color w:val="auto"/>
          <w:sz w:val="28"/>
          <w:szCs w:val="28"/>
        </w:rPr>
        <w:t>1.3合同文件的优先顺序</w:t>
      </w:r>
      <w:bookmarkEnd w:id="50"/>
      <w:bookmarkEnd w:id="51"/>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组成本合同的下列文件彼此应能相互解释、互为说明。除专用条件另有约定外，本合同文件的解释顺序如下：</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1.协议书</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2.中标通知书或委托书（如果有）；</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3.专用条件及附录；</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4.通用条件；</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5.投标函及投标函附录或造价咨询服务建议书（如果有）；</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6.其他合同文件。</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上述各项合同文件包括合同当事人就该项合同文件所作出的补充和修改，属于同一类内容的文件，应以最新签署的为准。</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在合同订立及履行过程中形成的与合同有关的文件均构成合同文件的组成部分。</w:t>
      </w:r>
    </w:p>
    <w:p>
      <w:pPr>
        <w:pStyle w:val="55"/>
        <w:spacing w:line="440" w:lineRule="exact"/>
        <w:ind w:firstLine="560" w:firstLineChars="200"/>
        <w:jc w:val="left"/>
        <w:rPr>
          <w:rFonts w:ascii="仿宋_GB2312" w:hAnsi="仿宋_GB2312" w:eastAsia="仿宋_GB2312" w:cs="仿宋_GB2312"/>
          <w:color w:val="auto"/>
          <w:sz w:val="28"/>
          <w:szCs w:val="28"/>
        </w:rPr>
      </w:pPr>
      <w:bookmarkStart w:id="52" w:name="_Toc422322486"/>
      <w:bookmarkStart w:id="53" w:name="_Toc419045071"/>
      <w:r>
        <w:rPr>
          <w:rFonts w:hint="eastAsia" w:ascii="仿宋_GB2312" w:hAnsi="仿宋_GB2312" w:eastAsia="仿宋_GB2312" w:cs="仿宋_GB2312"/>
          <w:color w:val="auto"/>
          <w:sz w:val="28"/>
          <w:szCs w:val="28"/>
        </w:rPr>
        <w:t>1.4适用法律</w:t>
      </w:r>
      <w:bookmarkEnd w:id="52"/>
      <w:bookmarkEnd w:id="53"/>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本合同适用中华人民共和国法律、行政法规、部门规章以及工程所在地的地方性法规、自治条例、单行条例和地方政府规章等。</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合同当事人可以在专用条件中约定本合同适用的其他规范、规程、定额、技术标准等规范性文件。</w:t>
      </w:r>
    </w:p>
    <w:p>
      <w:pPr>
        <w:pStyle w:val="55"/>
        <w:spacing w:line="440" w:lineRule="exact"/>
        <w:ind w:firstLine="562" w:firstLineChars="200"/>
        <w:jc w:val="left"/>
        <w:rPr>
          <w:rFonts w:ascii="仿宋_GB2312" w:hAnsi="仿宋_GB2312" w:eastAsia="仿宋_GB2312" w:cs="仿宋_GB2312"/>
          <w:b/>
          <w:bCs/>
          <w:color w:val="auto"/>
          <w:sz w:val="28"/>
          <w:szCs w:val="28"/>
        </w:rPr>
      </w:pPr>
      <w:bookmarkStart w:id="54" w:name="_Toc422322487"/>
      <w:r>
        <w:rPr>
          <w:rFonts w:hint="eastAsia" w:ascii="仿宋_GB2312" w:hAnsi="仿宋_GB2312" w:eastAsia="仿宋_GB2312" w:cs="仿宋_GB2312"/>
          <w:b/>
          <w:bCs/>
          <w:color w:val="auto"/>
          <w:sz w:val="28"/>
          <w:szCs w:val="28"/>
        </w:rPr>
        <w:t>2.委托人的义务</w:t>
      </w:r>
      <w:bookmarkEnd w:id="54"/>
    </w:p>
    <w:p>
      <w:pPr>
        <w:pStyle w:val="55"/>
        <w:spacing w:line="440" w:lineRule="exact"/>
        <w:ind w:firstLine="560" w:firstLineChars="200"/>
        <w:jc w:val="left"/>
        <w:rPr>
          <w:rFonts w:ascii="仿宋_GB2312" w:hAnsi="仿宋_GB2312" w:eastAsia="仿宋_GB2312" w:cs="仿宋_GB2312"/>
          <w:color w:val="auto"/>
          <w:sz w:val="28"/>
          <w:szCs w:val="28"/>
        </w:rPr>
      </w:pPr>
      <w:bookmarkStart w:id="55" w:name="_Toc419045072"/>
      <w:bookmarkStart w:id="56" w:name="_Toc422322488"/>
      <w:r>
        <w:rPr>
          <w:rFonts w:hint="eastAsia" w:ascii="仿宋_GB2312" w:hAnsi="仿宋_GB2312" w:eastAsia="仿宋_GB2312" w:cs="仿宋_GB2312"/>
          <w:color w:val="auto"/>
          <w:sz w:val="28"/>
          <w:szCs w:val="28"/>
        </w:rPr>
        <w:t>2.1提供资料</w:t>
      </w:r>
      <w:bookmarkEnd w:id="55"/>
      <w:bookmarkEnd w:id="56"/>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托人应当在专用条件约定的时间内，按照附录的约定无偿向咨询人提供与本合同咨询业务有关的资料。在本合同履行过程中，委托人应及时向咨询人提供最新的与本合同咨询业务有关的资料。委托人应对所提供资料的真实性、准确性、合法性与完整性负责。</w:t>
      </w:r>
    </w:p>
    <w:p>
      <w:pPr>
        <w:pStyle w:val="55"/>
        <w:spacing w:line="440" w:lineRule="exact"/>
        <w:ind w:firstLine="560" w:firstLineChars="200"/>
        <w:jc w:val="left"/>
        <w:rPr>
          <w:rFonts w:ascii="仿宋_GB2312" w:hAnsi="仿宋_GB2312" w:eastAsia="仿宋_GB2312" w:cs="仿宋_GB2312"/>
          <w:color w:val="auto"/>
          <w:sz w:val="28"/>
          <w:szCs w:val="28"/>
        </w:rPr>
      </w:pPr>
      <w:bookmarkStart w:id="57" w:name="_Toc419045073"/>
      <w:bookmarkStart w:id="58" w:name="_Toc422322489"/>
      <w:r>
        <w:rPr>
          <w:rFonts w:hint="eastAsia" w:ascii="仿宋_GB2312" w:hAnsi="仿宋_GB2312" w:eastAsia="仿宋_GB2312" w:cs="仿宋_GB2312"/>
          <w:color w:val="auto"/>
          <w:sz w:val="28"/>
          <w:szCs w:val="28"/>
        </w:rPr>
        <w:t>2.2提供工作条件</w:t>
      </w:r>
      <w:bookmarkEnd w:id="57"/>
      <w:bookmarkEnd w:id="58"/>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委托人应为咨询人完成造价咨询提供必要的条件。</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2.2.1委托人需要咨询人派驻项目现场咨询人员的，项目咨询人员应同委托人协商现场办公场所。</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2.2.2委托人应负责与本工程造价咨询业务有关的外部关系协调，为咨询人履行本合同提供必要的外部条件。</w:t>
      </w:r>
    </w:p>
    <w:p>
      <w:pPr>
        <w:pStyle w:val="55"/>
        <w:spacing w:line="440" w:lineRule="exact"/>
        <w:ind w:firstLine="560" w:firstLineChars="200"/>
        <w:jc w:val="left"/>
        <w:rPr>
          <w:rFonts w:ascii="仿宋_GB2312" w:hAnsi="仿宋_GB2312" w:eastAsia="仿宋_GB2312" w:cs="仿宋_GB2312"/>
          <w:color w:val="auto"/>
          <w:sz w:val="28"/>
          <w:szCs w:val="28"/>
        </w:rPr>
      </w:pPr>
      <w:bookmarkStart w:id="59" w:name="_Toc419045074"/>
      <w:bookmarkStart w:id="60" w:name="_Toc422322490"/>
      <w:r>
        <w:rPr>
          <w:rFonts w:hint="eastAsia" w:ascii="仿宋_GB2312" w:hAnsi="仿宋_GB2312" w:eastAsia="仿宋_GB2312" w:cs="仿宋_GB2312"/>
          <w:color w:val="auto"/>
          <w:sz w:val="28"/>
          <w:szCs w:val="28"/>
        </w:rPr>
        <w:t>2.3合理工作时限</w:t>
      </w:r>
      <w:bookmarkEnd w:id="59"/>
      <w:bookmarkEnd w:id="60"/>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委托人应当为咨询人完成其咨询工作，设定合理的工作时限。</w:t>
      </w:r>
    </w:p>
    <w:p>
      <w:pPr>
        <w:pStyle w:val="55"/>
        <w:spacing w:line="440" w:lineRule="exact"/>
        <w:ind w:firstLine="560" w:firstLineChars="200"/>
        <w:jc w:val="left"/>
        <w:rPr>
          <w:rFonts w:ascii="仿宋_GB2312" w:hAnsi="仿宋_GB2312" w:eastAsia="仿宋_GB2312" w:cs="仿宋_GB2312"/>
          <w:color w:val="auto"/>
          <w:sz w:val="28"/>
          <w:szCs w:val="28"/>
        </w:rPr>
      </w:pPr>
      <w:bookmarkStart w:id="61" w:name="_Toc422322491"/>
      <w:bookmarkStart w:id="62" w:name="_Toc419045075"/>
      <w:r>
        <w:rPr>
          <w:rFonts w:hint="eastAsia" w:ascii="仿宋_GB2312" w:hAnsi="仿宋_GB2312" w:eastAsia="仿宋_GB2312" w:cs="仿宋_GB2312"/>
          <w:color w:val="auto"/>
          <w:sz w:val="28"/>
          <w:szCs w:val="28"/>
        </w:rPr>
        <w:t>2.4委托人代表</w:t>
      </w:r>
      <w:bookmarkEnd w:id="61"/>
      <w:bookmarkEnd w:id="62"/>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委托人应授权一名代表负责本合同的履行。委托人应在双方签订本合同7日内，将委托人代表的姓名书面告知咨询人。</w:t>
      </w:r>
    </w:p>
    <w:p>
      <w:pPr>
        <w:pStyle w:val="55"/>
        <w:spacing w:line="440" w:lineRule="exact"/>
        <w:ind w:firstLine="560" w:firstLineChars="200"/>
        <w:jc w:val="left"/>
        <w:rPr>
          <w:rFonts w:ascii="仿宋_GB2312" w:hAnsi="仿宋_GB2312" w:eastAsia="仿宋_GB2312" w:cs="仿宋_GB2312"/>
          <w:color w:val="auto"/>
          <w:sz w:val="28"/>
          <w:szCs w:val="28"/>
        </w:rPr>
      </w:pPr>
      <w:bookmarkStart w:id="63" w:name="_Toc419045076"/>
      <w:bookmarkStart w:id="64" w:name="_Toc422322492"/>
      <w:r>
        <w:rPr>
          <w:rFonts w:hint="eastAsia" w:ascii="仿宋_GB2312" w:hAnsi="仿宋_GB2312" w:eastAsia="仿宋_GB2312" w:cs="仿宋_GB2312"/>
          <w:color w:val="auto"/>
          <w:sz w:val="28"/>
          <w:szCs w:val="28"/>
        </w:rPr>
        <w:t>2.5答复</w:t>
      </w:r>
      <w:bookmarkEnd w:id="63"/>
      <w:bookmarkEnd w:id="64"/>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委托人应当在专用条件约定的时间内就咨询人以书面形式提交并要求做出答复的事宜给予书面答复。</w:t>
      </w:r>
    </w:p>
    <w:p>
      <w:pPr>
        <w:pStyle w:val="55"/>
        <w:spacing w:line="440" w:lineRule="exact"/>
        <w:ind w:firstLine="560" w:firstLineChars="200"/>
        <w:jc w:val="left"/>
        <w:rPr>
          <w:rFonts w:ascii="仿宋_GB2312" w:hAnsi="仿宋_GB2312" w:eastAsia="仿宋_GB2312" w:cs="仿宋_GB2312"/>
          <w:color w:val="auto"/>
          <w:sz w:val="28"/>
          <w:szCs w:val="28"/>
        </w:rPr>
      </w:pPr>
      <w:bookmarkStart w:id="65" w:name="_Toc422322493"/>
      <w:bookmarkStart w:id="66" w:name="_Toc419045077"/>
      <w:r>
        <w:rPr>
          <w:rFonts w:hint="eastAsia" w:ascii="仿宋_GB2312" w:hAnsi="仿宋_GB2312" w:eastAsia="仿宋_GB2312" w:cs="仿宋_GB2312"/>
          <w:color w:val="auto"/>
          <w:sz w:val="28"/>
          <w:szCs w:val="28"/>
        </w:rPr>
        <w:t>2.6支付</w:t>
      </w:r>
      <w:bookmarkEnd w:id="65"/>
      <w:bookmarkEnd w:id="66"/>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委托人应当按照合同的约定，向咨询人支付酬金。</w:t>
      </w:r>
    </w:p>
    <w:p>
      <w:pPr>
        <w:pStyle w:val="55"/>
        <w:spacing w:line="440" w:lineRule="exact"/>
        <w:ind w:firstLine="562" w:firstLineChars="200"/>
        <w:jc w:val="left"/>
        <w:rPr>
          <w:rFonts w:ascii="仿宋_GB2312" w:hAnsi="仿宋_GB2312" w:eastAsia="仿宋_GB2312" w:cs="仿宋_GB2312"/>
          <w:b/>
          <w:bCs/>
          <w:color w:val="auto"/>
          <w:sz w:val="28"/>
          <w:szCs w:val="28"/>
        </w:rPr>
      </w:pPr>
      <w:bookmarkStart w:id="67" w:name="_Toc419045078"/>
      <w:bookmarkStart w:id="68" w:name="_Toc422322494"/>
      <w:r>
        <w:rPr>
          <w:rFonts w:hint="eastAsia" w:ascii="仿宋_GB2312" w:hAnsi="仿宋_GB2312" w:eastAsia="仿宋_GB2312" w:cs="仿宋_GB2312"/>
          <w:b/>
          <w:bCs/>
          <w:color w:val="auto"/>
          <w:sz w:val="28"/>
          <w:szCs w:val="28"/>
        </w:rPr>
        <w:t>3.咨询人的义务</w:t>
      </w:r>
      <w:bookmarkEnd w:id="67"/>
      <w:bookmarkEnd w:id="68"/>
    </w:p>
    <w:p>
      <w:pPr>
        <w:pStyle w:val="55"/>
        <w:spacing w:line="440" w:lineRule="exact"/>
        <w:ind w:firstLine="560" w:firstLineChars="200"/>
        <w:jc w:val="left"/>
        <w:rPr>
          <w:rFonts w:ascii="仿宋_GB2312" w:hAnsi="仿宋_GB2312" w:eastAsia="仿宋_GB2312" w:cs="仿宋_GB2312"/>
          <w:color w:val="auto"/>
          <w:sz w:val="28"/>
          <w:szCs w:val="28"/>
        </w:rPr>
      </w:pPr>
      <w:bookmarkStart w:id="69" w:name="_Toc419045080"/>
      <w:bookmarkStart w:id="70" w:name="_Toc422322495"/>
      <w:bookmarkStart w:id="71" w:name="16"/>
      <w:r>
        <w:rPr>
          <w:rFonts w:hint="eastAsia" w:ascii="仿宋_GB2312" w:hAnsi="仿宋_GB2312" w:eastAsia="仿宋_GB2312" w:cs="仿宋_GB2312"/>
          <w:color w:val="auto"/>
          <w:sz w:val="28"/>
          <w:szCs w:val="28"/>
        </w:rPr>
        <w:t>3.1 项目咨询团队及人员</w:t>
      </w:r>
      <w:bookmarkEnd w:id="69"/>
      <w:bookmarkEnd w:id="70"/>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3.1.1项目咨询团队的主要人员应具有专用条件约定的资格条件，团队人员的数量应符合专用条件的约定。</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3.1.2项目负责人</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咨询人应以书面形式授权一名项目负责人负责履行本合同、主持项目咨询团队工作。采用招标程序签署本合同的，项目负责人应当与投标文件载明的一致。</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3.1.3在本合同履行过程中，咨询人员应保持相对稳定，以保证咨询工作正常进行。</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3.1.4咨询人员有下列情形之一，委托人要求咨询人更换的，咨询人应当更换：</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（1）存在严重过失行为的；</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（2）存在违法行为不能履行职责的；</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（3）涉嫌犯罪的；</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（4）不能胜任岗位职责的；</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（5）严重违反职业道德的；</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（6）专用条件约定的其他情形。</w:t>
      </w:r>
    </w:p>
    <w:p>
      <w:pPr>
        <w:pStyle w:val="55"/>
        <w:spacing w:line="440" w:lineRule="exact"/>
        <w:ind w:firstLine="560" w:firstLineChars="200"/>
        <w:jc w:val="left"/>
        <w:rPr>
          <w:rFonts w:ascii="仿宋_GB2312" w:hAnsi="仿宋_GB2312" w:eastAsia="仿宋_GB2312" w:cs="仿宋_GB2312"/>
          <w:color w:val="auto"/>
          <w:sz w:val="28"/>
          <w:szCs w:val="28"/>
        </w:rPr>
      </w:pPr>
      <w:bookmarkStart w:id="72" w:name="_Toc422322496"/>
      <w:r>
        <w:rPr>
          <w:rFonts w:hint="eastAsia" w:ascii="仿宋_GB2312" w:hAnsi="仿宋_GB2312" w:eastAsia="仿宋_GB2312" w:cs="仿宋_GB2312"/>
          <w:color w:val="auto"/>
          <w:sz w:val="28"/>
          <w:szCs w:val="28"/>
        </w:rPr>
        <w:t>3.2 咨询人的工作要求</w:t>
      </w:r>
      <w:bookmarkEnd w:id="72"/>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3.2.2咨询人应当在专用条件约定的时间内，按照专用条件约定的份数、组成向委托人提交咨询成果文件。</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3.2.3咨询人提交的工程造价咨询成果文件，除加盖咨询人单位公章、工程造价咨询企业执业印章外，还必须按要求加盖参加咨询工作人员的执业（从业）资格印章。</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3.2.4咨询人应在专用条件约定的时间内，对委托人以书面形式提出的建议或者异议给予书面答复。</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3.2.5咨询人从事工程造价咨询活动，应当遵循独立、客观、公正、诚</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实信用的原则，不得损害社会公共利益和他人的合法权益。</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3.2.6咨询人承诺按照法律规定及合同约定，完成合同范围内的建设工程造价咨询服务，不转包承接的造价咨询服务业务。</w:t>
      </w:r>
    </w:p>
    <w:p>
      <w:pPr>
        <w:pStyle w:val="55"/>
        <w:spacing w:line="440" w:lineRule="exact"/>
        <w:ind w:firstLine="560" w:firstLineChars="200"/>
        <w:jc w:val="left"/>
        <w:rPr>
          <w:rFonts w:ascii="仿宋_GB2312" w:hAnsi="仿宋_GB2312" w:eastAsia="仿宋_GB2312" w:cs="仿宋_GB2312"/>
          <w:color w:val="auto"/>
          <w:sz w:val="28"/>
          <w:szCs w:val="28"/>
        </w:rPr>
      </w:pPr>
      <w:bookmarkStart w:id="73" w:name="_Toc419045081"/>
      <w:bookmarkStart w:id="74" w:name="_Toc422322497"/>
      <w:r>
        <w:rPr>
          <w:rFonts w:hint="eastAsia" w:ascii="仿宋_GB2312" w:hAnsi="仿宋_GB2312" w:eastAsia="仿宋_GB2312" w:cs="仿宋_GB2312"/>
          <w:color w:val="auto"/>
          <w:sz w:val="28"/>
          <w:szCs w:val="28"/>
        </w:rPr>
        <w:t>3.3咨询人的工作依据</w:t>
      </w:r>
      <w:bookmarkEnd w:id="73"/>
      <w:bookmarkEnd w:id="74"/>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咨询人应在专用条件内与委托人协商明确履行本合同约定的咨询服务需要适用的技术标准、规范、定额等工作依据，但不得违反国家及工程所在地的强制性标准、规范。</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咨询人应自行配备本条所述的技术标准、规范、定额等相关资料。必须由委托人提供的资料，应在附录中载明。需要委托人协助才能获得的资料，委托人应予以协助。</w:t>
      </w:r>
    </w:p>
    <w:p>
      <w:pPr>
        <w:pStyle w:val="55"/>
        <w:spacing w:line="440" w:lineRule="exact"/>
        <w:ind w:firstLine="560" w:firstLineChars="200"/>
        <w:jc w:val="left"/>
        <w:rPr>
          <w:rFonts w:ascii="仿宋_GB2312" w:hAnsi="仿宋_GB2312" w:eastAsia="仿宋_GB2312" w:cs="仿宋_GB2312"/>
          <w:color w:val="auto"/>
          <w:sz w:val="28"/>
          <w:szCs w:val="28"/>
        </w:rPr>
      </w:pPr>
      <w:bookmarkStart w:id="75" w:name="_Toc419045082"/>
      <w:bookmarkStart w:id="76" w:name="_Toc422322498"/>
      <w:r>
        <w:rPr>
          <w:rFonts w:hint="eastAsia" w:ascii="仿宋_GB2312" w:hAnsi="仿宋_GB2312" w:eastAsia="仿宋_GB2312" w:cs="仿宋_GB2312"/>
          <w:color w:val="auto"/>
          <w:sz w:val="28"/>
          <w:szCs w:val="28"/>
        </w:rPr>
        <w:t>3.4使用委托人房屋及设备的返还</w:t>
      </w:r>
      <w:bookmarkEnd w:id="75"/>
      <w:bookmarkEnd w:id="76"/>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项目咨询人员使用委托人提供的房屋及设备的，咨询人应妥善使用和保管，在本合同终止时将上述房屋及设备完好无损返还委托人。</w:t>
      </w:r>
    </w:p>
    <w:bookmarkEnd w:id="71"/>
    <w:p>
      <w:pPr>
        <w:pStyle w:val="55"/>
        <w:spacing w:line="440" w:lineRule="exact"/>
        <w:ind w:firstLine="562" w:firstLineChars="200"/>
        <w:jc w:val="left"/>
        <w:rPr>
          <w:rFonts w:ascii="仿宋_GB2312" w:hAnsi="仿宋_GB2312" w:eastAsia="仿宋_GB2312" w:cs="仿宋_GB2312"/>
          <w:b/>
          <w:bCs/>
          <w:color w:val="auto"/>
          <w:sz w:val="28"/>
          <w:szCs w:val="28"/>
        </w:rPr>
      </w:pPr>
      <w:bookmarkStart w:id="77" w:name="_Toc422322499"/>
      <w:bookmarkStart w:id="78" w:name="_Toc419045083"/>
      <w:bookmarkStart w:id="79" w:name="19"/>
      <w:r>
        <w:rPr>
          <w:rFonts w:hint="eastAsia" w:ascii="仿宋_GB2312" w:hAnsi="仿宋_GB2312" w:eastAsia="仿宋_GB2312" w:cs="仿宋_GB2312"/>
          <w:b/>
          <w:bCs/>
          <w:color w:val="auto"/>
          <w:sz w:val="28"/>
          <w:szCs w:val="28"/>
        </w:rPr>
        <w:t>4.违约责任</w:t>
      </w:r>
      <w:bookmarkEnd w:id="77"/>
      <w:bookmarkEnd w:id="78"/>
    </w:p>
    <w:p>
      <w:pPr>
        <w:pStyle w:val="55"/>
        <w:spacing w:line="440" w:lineRule="exact"/>
        <w:ind w:firstLine="560" w:firstLineChars="200"/>
        <w:jc w:val="left"/>
        <w:rPr>
          <w:rFonts w:ascii="仿宋_GB2312" w:hAnsi="仿宋_GB2312" w:eastAsia="仿宋_GB2312" w:cs="仿宋_GB2312"/>
          <w:color w:val="auto"/>
          <w:sz w:val="28"/>
          <w:szCs w:val="28"/>
        </w:rPr>
      </w:pPr>
      <w:bookmarkStart w:id="80" w:name="_Toc422322500"/>
      <w:r>
        <w:rPr>
          <w:rFonts w:hint="eastAsia" w:ascii="仿宋_GB2312" w:hAnsi="仿宋_GB2312" w:eastAsia="仿宋_GB2312" w:cs="仿宋_GB2312"/>
          <w:color w:val="auto"/>
          <w:sz w:val="28"/>
          <w:szCs w:val="28"/>
        </w:rPr>
        <w:t>4.1委托人的违约责任</w:t>
      </w:r>
      <w:bookmarkEnd w:id="80"/>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4.1.1委托人不履行本合同义务或者履行义务不符合本合同约定的，应承担违约责任。</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4.1.2委托人违反本合同约定造成咨询人损失的，委托人应予以赔偿。</w:t>
      </w:r>
    </w:p>
    <w:p>
      <w:pPr>
        <w:pStyle w:val="55"/>
        <w:spacing w:line="440" w:lineRule="exact"/>
        <w:ind w:firstLine="560" w:firstLineChars="200"/>
        <w:jc w:val="left"/>
        <w:rPr>
          <w:rFonts w:ascii="仿宋_GB2312" w:hAnsi="仿宋_GB2312" w:eastAsia="仿宋_GB2312" w:cs="仿宋_GB2312"/>
          <w:color w:val="auto"/>
          <w:sz w:val="28"/>
          <w:szCs w:val="28"/>
        </w:rPr>
      </w:pPr>
      <w:bookmarkStart w:id="81" w:name="_Toc419045084"/>
      <w:bookmarkStart w:id="82" w:name="_Toc422322501"/>
      <w:r>
        <w:rPr>
          <w:rFonts w:hint="eastAsia" w:ascii="仿宋_GB2312" w:hAnsi="仿宋_GB2312" w:eastAsia="仿宋_GB2312" w:cs="仿宋_GB2312"/>
          <w:color w:val="auto"/>
          <w:sz w:val="28"/>
          <w:szCs w:val="28"/>
        </w:rPr>
        <w:t>4.2咨询人的违约责任</w:t>
      </w:r>
      <w:bookmarkEnd w:id="81"/>
      <w:bookmarkEnd w:id="82"/>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4.2.1咨询人不履行本合同义务或者履行义务不符合本合同约定的，应承担违约责任。</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4.2.2因咨询人违反本合同约定给委托人造成损失的，咨询人应当赔偿委托人损失。</w:t>
      </w:r>
    </w:p>
    <w:p>
      <w:pPr>
        <w:pStyle w:val="55"/>
        <w:spacing w:line="440" w:lineRule="exact"/>
        <w:ind w:firstLine="562" w:firstLineChars="200"/>
        <w:jc w:val="left"/>
        <w:rPr>
          <w:rFonts w:ascii="仿宋_GB2312" w:hAnsi="仿宋_GB2312" w:eastAsia="仿宋_GB2312" w:cs="仿宋_GB2312"/>
          <w:b/>
          <w:bCs/>
          <w:color w:val="auto"/>
          <w:sz w:val="28"/>
          <w:szCs w:val="28"/>
        </w:rPr>
      </w:pPr>
      <w:bookmarkStart w:id="83" w:name="_Toc419045086"/>
      <w:bookmarkStart w:id="84" w:name="_Toc422322502"/>
      <w:r>
        <w:rPr>
          <w:rFonts w:hint="eastAsia" w:ascii="仿宋_GB2312" w:hAnsi="仿宋_GB2312" w:eastAsia="仿宋_GB2312" w:cs="仿宋_GB2312"/>
          <w:b/>
          <w:bCs/>
          <w:color w:val="auto"/>
          <w:sz w:val="28"/>
          <w:szCs w:val="28"/>
        </w:rPr>
        <w:t>5.支付</w:t>
      </w:r>
      <w:bookmarkEnd w:id="83"/>
      <w:bookmarkEnd w:id="84"/>
    </w:p>
    <w:p>
      <w:pPr>
        <w:pStyle w:val="55"/>
        <w:spacing w:line="440" w:lineRule="exact"/>
        <w:ind w:firstLine="560" w:firstLineChars="200"/>
        <w:jc w:val="left"/>
        <w:rPr>
          <w:rFonts w:ascii="仿宋_GB2312" w:hAnsi="仿宋_GB2312" w:eastAsia="仿宋_GB2312" w:cs="仿宋_GB2312"/>
          <w:color w:val="auto"/>
          <w:sz w:val="28"/>
          <w:szCs w:val="28"/>
        </w:rPr>
      </w:pPr>
      <w:bookmarkStart w:id="85" w:name="_Toc422322503"/>
      <w:bookmarkStart w:id="86" w:name="_Toc419045087"/>
      <w:r>
        <w:rPr>
          <w:rFonts w:hint="eastAsia" w:ascii="仿宋_GB2312" w:hAnsi="仿宋_GB2312" w:eastAsia="仿宋_GB2312" w:cs="仿宋_GB2312"/>
          <w:color w:val="auto"/>
          <w:sz w:val="28"/>
          <w:szCs w:val="28"/>
        </w:rPr>
        <w:t>5.1支付货币</w:t>
      </w:r>
      <w:bookmarkEnd w:id="85"/>
      <w:bookmarkEnd w:id="86"/>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除专用条件另有约定外，酬金均以人民币支付。涉及外币支付的，所采用的货币种类和汇率等在专用条件中约定。</w:t>
      </w:r>
    </w:p>
    <w:p>
      <w:pPr>
        <w:pStyle w:val="55"/>
        <w:spacing w:line="440" w:lineRule="exact"/>
        <w:ind w:firstLine="560" w:firstLineChars="200"/>
        <w:jc w:val="left"/>
        <w:rPr>
          <w:rFonts w:ascii="仿宋_GB2312" w:hAnsi="仿宋_GB2312" w:eastAsia="仿宋_GB2312" w:cs="仿宋_GB2312"/>
          <w:color w:val="auto"/>
          <w:sz w:val="28"/>
          <w:szCs w:val="28"/>
        </w:rPr>
      </w:pPr>
      <w:bookmarkStart w:id="87" w:name="_Toc422322504"/>
      <w:r>
        <w:rPr>
          <w:rFonts w:hint="eastAsia" w:ascii="仿宋_GB2312" w:hAnsi="仿宋_GB2312" w:eastAsia="仿宋_GB2312" w:cs="仿宋_GB2312"/>
          <w:color w:val="auto"/>
          <w:sz w:val="28"/>
          <w:szCs w:val="28"/>
        </w:rPr>
        <w:t>5.2支付申请</w:t>
      </w:r>
      <w:bookmarkEnd w:id="87"/>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咨询人应在本合同约定的每次应付款日期前，向委托人提交支付申请书，支付申请书的提交日期由双方在专用条件中约定。支付申请书应当说明当期应付款总额，并列出当期应支付的款项及其金额。</w:t>
      </w:r>
    </w:p>
    <w:p>
      <w:pPr>
        <w:pStyle w:val="55"/>
        <w:spacing w:line="440" w:lineRule="exact"/>
        <w:ind w:firstLine="560" w:firstLineChars="200"/>
        <w:jc w:val="left"/>
        <w:rPr>
          <w:rFonts w:ascii="仿宋_GB2312" w:hAnsi="仿宋_GB2312" w:eastAsia="仿宋_GB2312" w:cs="仿宋_GB2312"/>
          <w:color w:val="auto"/>
          <w:sz w:val="28"/>
          <w:szCs w:val="28"/>
        </w:rPr>
      </w:pPr>
      <w:bookmarkStart w:id="88" w:name="_Toc422322505"/>
      <w:r>
        <w:rPr>
          <w:rFonts w:hint="eastAsia" w:ascii="仿宋_GB2312" w:hAnsi="仿宋_GB2312" w:eastAsia="仿宋_GB2312" w:cs="仿宋_GB2312"/>
          <w:color w:val="auto"/>
          <w:sz w:val="28"/>
          <w:szCs w:val="28"/>
        </w:rPr>
        <w:t>5.3 支付酬金</w:t>
      </w:r>
      <w:bookmarkEnd w:id="88"/>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合同约定的应付的报酬（包含各种费用及税收等）</w:t>
      </w:r>
    </w:p>
    <w:p>
      <w:pPr>
        <w:pStyle w:val="55"/>
        <w:spacing w:line="440" w:lineRule="exact"/>
        <w:ind w:firstLine="560" w:firstLineChars="200"/>
        <w:jc w:val="left"/>
        <w:rPr>
          <w:rFonts w:ascii="仿宋_GB2312" w:hAnsi="仿宋_GB2312" w:eastAsia="仿宋_GB2312" w:cs="仿宋_GB2312"/>
          <w:color w:val="auto"/>
          <w:sz w:val="28"/>
          <w:szCs w:val="28"/>
        </w:rPr>
      </w:pPr>
      <w:bookmarkStart w:id="89" w:name="_Toc422322506"/>
      <w:r>
        <w:rPr>
          <w:rFonts w:hint="eastAsia" w:ascii="仿宋_GB2312" w:hAnsi="仿宋_GB2312" w:eastAsia="仿宋_GB2312" w:cs="仿宋_GB2312"/>
          <w:color w:val="auto"/>
          <w:sz w:val="28"/>
          <w:szCs w:val="28"/>
        </w:rPr>
        <w:t>5.4有异议部分的支付</w:t>
      </w:r>
      <w:bookmarkEnd w:id="89"/>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委托人对咨询人提交的支付申请书有异议时，应当在收到咨询人提交的支付申请书后7日内，以书面形式向咨询人发出异议通知。无异议部分的款项应按期支付，有异议部分的款项按第7条约定办理。</w:t>
      </w:r>
    </w:p>
    <w:p>
      <w:pPr>
        <w:pStyle w:val="55"/>
        <w:spacing w:line="440" w:lineRule="exact"/>
        <w:ind w:firstLine="562" w:firstLineChars="200"/>
        <w:jc w:val="left"/>
        <w:rPr>
          <w:rFonts w:ascii="仿宋_GB2312" w:hAnsi="仿宋_GB2312" w:eastAsia="仿宋_GB2312" w:cs="仿宋_GB2312"/>
          <w:b/>
          <w:bCs/>
          <w:color w:val="auto"/>
          <w:sz w:val="28"/>
          <w:szCs w:val="28"/>
        </w:rPr>
      </w:pPr>
      <w:bookmarkStart w:id="90" w:name="_Toc419045088"/>
      <w:bookmarkStart w:id="91" w:name="_Toc422322507"/>
      <w:r>
        <w:rPr>
          <w:rFonts w:hint="eastAsia" w:ascii="仿宋_GB2312" w:hAnsi="仿宋_GB2312" w:eastAsia="仿宋_GB2312" w:cs="仿宋_GB2312"/>
          <w:b/>
          <w:bCs/>
          <w:color w:val="auto"/>
          <w:sz w:val="28"/>
          <w:szCs w:val="28"/>
        </w:rPr>
        <w:t>6.合同变更、解除与终止</w:t>
      </w:r>
      <w:bookmarkEnd w:id="90"/>
      <w:bookmarkEnd w:id="91"/>
    </w:p>
    <w:p>
      <w:pPr>
        <w:pStyle w:val="55"/>
        <w:spacing w:line="440" w:lineRule="exact"/>
        <w:ind w:left="557" w:leftChars="232" w:firstLine="0"/>
        <w:jc w:val="left"/>
        <w:rPr>
          <w:rFonts w:ascii="仿宋_GB2312" w:hAnsi="仿宋_GB2312" w:eastAsia="仿宋_GB2312" w:cs="仿宋_GB2312"/>
          <w:color w:val="auto"/>
          <w:sz w:val="28"/>
          <w:szCs w:val="28"/>
        </w:rPr>
      </w:pPr>
      <w:bookmarkStart w:id="92" w:name="_Toc419045089"/>
      <w:bookmarkStart w:id="93" w:name="_Toc422322508"/>
      <w:r>
        <w:rPr>
          <w:rFonts w:hint="eastAsia" w:ascii="仿宋_GB2312" w:hAnsi="仿宋_GB2312" w:eastAsia="仿宋_GB2312" w:cs="仿宋_GB2312"/>
          <w:color w:val="auto"/>
          <w:sz w:val="28"/>
          <w:szCs w:val="28"/>
        </w:rPr>
        <w:t>6.1合同变更</w:t>
      </w:r>
      <w:bookmarkEnd w:id="92"/>
      <w:bookmarkEnd w:id="93"/>
      <w:r>
        <w:rPr>
          <w:rFonts w:hint="eastAsia" w:ascii="仿宋_GB2312" w:hAnsi="仿宋_GB2312" w:eastAsia="仿宋_GB2312" w:cs="仿宋_GB2312"/>
          <w:color w:val="auto"/>
          <w:sz w:val="28"/>
          <w:szCs w:val="28"/>
        </w:rPr>
        <w:t xml:space="preserve"> </w:t>
      </w:r>
    </w:p>
    <w:p>
      <w:pPr>
        <w:pStyle w:val="55"/>
        <w:spacing w:line="440" w:lineRule="exact"/>
        <w:ind w:left="557" w:leftChars="232"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6.1.1任何一方以书面形式提出变更请求时，双方经协商一致后可进行变更。</w:t>
      </w:r>
    </w:p>
    <w:p>
      <w:pPr>
        <w:pStyle w:val="55"/>
        <w:spacing w:line="440" w:lineRule="exact"/>
        <w:ind w:left="557" w:leftChars="232"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6.1.2除不可抗力外，因咨询人原因导致咨询人履行合同期限延长、内容增加时，咨询人应当将此情况与可能产生的影响及时通知委托人。</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6.1.4 因工程规模、服务范围及工作内容的变化等导致咨询人的工作量增减时，服务酬金应作相应调整，调整方法应通过协商确定。</w:t>
      </w:r>
    </w:p>
    <w:p>
      <w:pPr>
        <w:pStyle w:val="55"/>
        <w:spacing w:line="440" w:lineRule="exact"/>
        <w:ind w:firstLine="560" w:firstLineChars="200"/>
        <w:jc w:val="left"/>
        <w:rPr>
          <w:rFonts w:ascii="仿宋_GB2312" w:hAnsi="仿宋_GB2312" w:eastAsia="仿宋_GB2312" w:cs="仿宋_GB2312"/>
          <w:color w:val="auto"/>
          <w:sz w:val="28"/>
          <w:szCs w:val="28"/>
        </w:rPr>
      </w:pPr>
      <w:bookmarkStart w:id="94" w:name="_Toc419045090"/>
      <w:bookmarkStart w:id="95" w:name="_Toc422322509"/>
      <w:r>
        <w:rPr>
          <w:rFonts w:hint="eastAsia" w:ascii="仿宋_GB2312" w:hAnsi="仿宋_GB2312" w:eastAsia="仿宋_GB2312" w:cs="仿宋_GB2312"/>
          <w:color w:val="auto"/>
          <w:sz w:val="28"/>
          <w:szCs w:val="28"/>
        </w:rPr>
        <w:t>6.2合同解除</w:t>
      </w:r>
      <w:bookmarkEnd w:id="94"/>
      <w:bookmarkEnd w:id="95"/>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6.2.1 委托人与咨询人协商一致，可以解除合同。</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6.2.2 有下列情形之一的，合同当事人一方或双方可以解除合同：</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（1）咨询人将本合同约定的工程造价咨询服务工作全部或部分转包给他人，委托人可以解除合同；</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（2）咨询人提供的造价咨询服务不符合合同约定的要求，经委托人催告仍不能达到合同约定要求的，委托人可以解除合同；</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（3）委托人未按合同约定支付服务酬金，经咨询人催告后，在28天内仍未支付的，咨询人可以解除合同；</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（4）因不可抗力致使合同无法履行；</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（5）因一方违约致使合同无法实际履行或实际履行已无必要。</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除上述情形外，双方可以根据委托的服务范围及工作内容，在专用条件中约定解除合同的其他条件。</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6.2.3 任何一方提出解除合同的，应提前30天书面通知对方。</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6.2.4合同解除后，委托人应按照合同约定向咨询人支付已完成部分的咨询服务酬金。</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因不可抗力导致的合同解除，其损失的分担由双方协商确定。除不可抗力外因非咨询人原因导致的合同解除，其损失由委托人承担。因咨询人自身原因导致的合同解除，按照违约责任处理。</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6.2.5本合同解除后，本合同约定的有关结算、争议解决方式的条款仍然有效。</w:t>
      </w:r>
    </w:p>
    <w:p>
      <w:pPr>
        <w:pStyle w:val="55"/>
        <w:spacing w:line="440" w:lineRule="exact"/>
        <w:ind w:firstLine="560" w:firstLineChars="200"/>
        <w:jc w:val="left"/>
        <w:rPr>
          <w:rFonts w:ascii="仿宋_GB2312" w:hAnsi="仿宋_GB2312" w:eastAsia="仿宋_GB2312" w:cs="仿宋_GB2312"/>
          <w:color w:val="auto"/>
          <w:sz w:val="28"/>
          <w:szCs w:val="28"/>
        </w:rPr>
      </w:pPr>
      <w:bookmarkStart w:id="96" w:name="_Toc422322510"/>
      <w:r>
        <w:rPr>
          <w:rFonts w:hint="eastAsia" w:ascii="仿宋_GB2312" w:hAnsi="仿宋_GB2312" w:eastAsia="仿宋_GB2312" w:cs="仿宋_GB2312"/>
          <w:color w:val="auto"/>
          <w:sz w:val="28"/>
          <w:szCs w:val="28"/>
        </w:rPr>
        <w:t>6.3 合同终止</w:t>
      </w:r>
      <w:bookmarkEnd w:id="96"/>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除合同解除外，以下条件全部满足时，本合同终止：</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（1）咨询人完成本合同约定的全部工作；</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（2）委托人与咨询人结清并支付酬金；</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（3）咨询人将委托人提供的资料交还。</w:t>
      </w:r>
    </w:p>
    <w:p>
      <w:pPr>
        <w:pStyle w:val="55"/>
        <w:spacing w:line="440" w:lineRule="exact"/>
        <w:ind w:firstLine="562" w:firstLineChars="200"/>
        <w:jc w:val="left"/>
        <w:rPr>
          <w:rFonts w:ascii="仿宋_GB2312" w:hAnsi="仿宋_GB2312" w:eastAsia="仿宋_GB2312" w:cs="仿宋_GB2312"/>
          <w:b/>
          <w:bCs/>
          <w:color w:val="auto"/>
          <w:sz w:val="28"/>
          <w:szCs w:val="28"/>
        </w:rPr>
      </w:pPr>
      <w:bookmarkStart w:id="97" w:name="_Toc422322511"/>
      <w:bookmarkStart w:id="98" w:name="_Toc419045091"/>
      <w:r>
        <w:rPr>
          <w:rFonts w:hint="eastAsia" w:ascii="仿宋_GB2312" w:hAnsi="仿宋_GB2312" w:eastAsia="仿宋_GB2312" w:cs="仿宋_GB2312"/>
          <w:b/>
          <w:bCs/>
          <w:color w:val="auto"/>
          <w:sz w:val="28"/>
          <w:szCs w:val="28"/>
        </w:rPr>
        <w:t>7.争议解决</w:t>
      </w:r>
      <w:bookmarkEnd w:id="79"/>
      <w:bookmarkEnd w:id="97"/>
      <w:bookmarkEnd w:id="98"/>
    </w:p>
    <w:p>
      <w:pPr>
        <w:pStyle w:val="55"/>
        <w:spacing w:line="440" w:lineRule="exact"/>
        <w:ind w:firstLine="560" w:firstLineChars="200"/>
        <w:jc w:val="left"/>
        <w:rPr>
          <w:rFonts w:ascii="仿宋_GB2312" w:hAnsi="仿宋_GB2312" w:eastAsia="仿宋_GB2312" w:cs="仿宋_GB2312"/>
          <w:color w:val="auto"/>
          <w:sz w:val="28"/>
          <w:szCs w:val="28"/>
        </w:rPr>
      </w:pPr>
      <w:bookmarkStart w:id="99" w:name="_Toc419045092"/>
      <w:bookmarkStart w:id="100" w:name="_Toc422322512"/>
      <w:r>
        <w:rPr>
          <w:rFonts w:hint="eastAsia" w:ascii="仿宋_GB2312" w:hAnsi="仿宋_GB2312" w:eastAsia="仿宋_GB2312" w:cs="仿宋_GB2312"/>
          <w:color w:val="auto"/>
          <w:sz w:val="28"/>
          <w:szCs w:val="28"/>
        </w:rPr>
        <w:t>7.1协商</w:t>
      </w:r>
      <w:bookmarkEnd w:id="99"/>
      <w:bookmarkEnd w:id="100"/>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双方应本着诚实信用的原则协商解决本合同履行过程中发生的争议。</w:t>
      </w:r>
      <w:bookmarkStart w:id="101" w:name="37"/>
    </w:p>
    <w:p>
      <w:pPr>
        <w:pStyle w:val="55"/>
        <w:spacing w:line="440" w:lineRule="exact"/>
        <w:ind w:firstLine="560" w:firstLineChars="200"/>
        <w:jc w:val="left"/>
        <w:rPr>
          <w:rFonts w:ascii="仿宋_GB2312" w:hAnsi="仿宋_GB2312" w:eastAsia="仿宋_GB2312" w:cs="仿宋_GB2312"/>
          <w:color w:val="auto"/>
          <w:sz w:val="28"/>
          <w:szCs w:val="28"/>
        </w:rPr>
      </w:pPr>
      <w:bookmarkStart w:id="102" w:name="_Toc422322513"/>
      <w:bookmarkStart w:id="103" w:name="_Toc419045093"/>
      <w:r>
        <w:rPr>
          <w:rFonts w:hint="eastAsia" w:ascii="仿宋_GB2312" w:hAnsi="仿宋_GB2312" w:eastAsia="仿宋_GB2312" w:cs="仿宋_GB2312"/>
          <w:color w:val="auto"/>
          <w:sz w:val="28"/>
          <w:szCs w:val="28"/>
        </w:rPr>
        <w:t>7.2</w:t>
      </w:r>
      <w:bookmarkEnd w:id="101"/>
      <w:r>
        <w:rPr>
          <w:rFonts w:hint="eastAsia" w:ascii="仿宋_GB2312" w:hAnsi="仿宋_GB2312" w:eastAsia="仿宋_GB2312" w:cs="仿宋_GB2312"/>
          <w:color w:val="auto"/>
          <w:sz w:val="28"/>
          <w:szCs w:val="28"/>
        </w:rPr>
        <w:t>调解</w:t>
      </w:r>
      <w:bookmarkEnd w:id="102"/>
      <w:bookmarkEnd w:id="103"/>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如果双方不能在14日内或双方商定的其他时间内解决本合同争议，可以将其提交给专用条件约定的或事后达成协议的调解人进行调解。</w:t>
      </w:r>
    </w:p>
    <w:p>
      <w:pPr>
        <w:pStyle w:val="55"/>
        <w:spacing w:line="440" w:lineRule="exact"/>
        <w:ind w:firstLine="560" w:firstLineChars="200"/>
        <w:jc w:val="left"/>
        <w:rPr>
          <w:rFonts w:ascii="仿宋_GB2312" w:hAnsi="仿宋_GB2312" w:eastAsia="仿宋_GB2312" w:cs="仿宋_GB2312"/>
          <w:color w:val="auto"/>
          <w:sz w:val="28"/>
          <w:szCs w:val="28"/>
        </w:rPr>
      </w:pPr>
      <w:bookmarkStart w:id="104" w:name="38"/>
      <w:bookmarkStart w:id="105" w:name="_Toc419045094"/>
      <w:bookmarkStart w:id="106" w:name="_Toc422322514"/>
      <w:r>
        <w:rPr>
          <w:rFonts w:hint="eastAsia" w:ascii="仿宋_GB2312" w:hAnsi="仿宋_GB2312" w:eastAsia="仿宋_GB2312" w:cs="仿宋_GB2312"/>
          <w:color w:val="auto"/>
          <w:sz w:val="28"/>
          <w:szCs w:val="28"/>
        </w:rPr>
        <w:t>7.</w:t>
      </w:r>
      <w:bookmarkEnd w:id="104"/>
      <w:r>
        <w:rPr>
          <w:rFonts w:hint="eastAsia" w:ascii="仿宋_GB2312" w:hAnsi="仿宋_GB2312" w:eastAsia="仿宋_GB2312" w:cs="仿宋_GB2312"/>
          <w:color w:val="auto"/>
          <w:sz w:val="28"/>
          <w:szCs w:val="28"/>
        </w:rPr>
        <w:t>3仲裁或诉讼</w:t>
      </w:r>
      <w:bookmarkEnd w:id="105"/>
      <w:bookmarkEnd w:id="106"/>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双方均有权不经调解直接向专用条件约定的仲裁机构申请仲裁或向有管辖权的人民法院提起诉讼。</w:t>
      </w:r>
    </w:p>
    <w:p>
      <w:pPr>
        <w:pStyle w:val="55"/>
        <w:spacing w:line="440" w:lineRule="exact"/>
        <w:ind w:firstLine="562" w:firstLineChars="200"/>
        <w:jc w:val="left"/>
        <w:rPr>
          <w:rFonts w:ascii="仿宋_GB2312" w:hAnsi="仿宋_GB2312" w:eastAsia="仿宋_GB2312" w:cs="仿宋_GB2312"/>
          <w:b/>
          <w:bCs/>
          <w:color w:val="auto"/>
          <w:sz w:val="28"/>
          <w:szCs w:val="28"/>
        </w:rPr>
      </w:pPr>
      <w:bookmarkStart w:id="107" w:name="_Toc422322515"/>
      <w:bookmarkStart w:id="108" w:name="_Toc419045095"/>
      <w:r>
        <w:rPr>
          <w:rFonts w:hint="eastAsia" w:ascii="仿宋_GB2312" w:hAnsi="仿宋_GB2312" w:eastAsia="仿宋_GB2312" w:cs="仿宋_GB2312"/>
          <w:b/>
          <w:bCs/>
          <w:color w:val="auto"/>
          <w:sz w:val="28"/>
          <w:szCs w:val="28"/>
        </w:rPr>
        <w:t>8.其他</w:t>
      </w:r>
      <w:bookmarkEnd w:id="107"/>
      <w:bookmarkEnd w:id="108"/>
    </w:p>
    <w:p>
      <w:pPr>
        <w:pStyle w:val="55"/>
        <w:spacing w:line="440" w:lineRule="exact"/>
        <w:ind w:firstLine="560" w:firstLineChars="200"/>
        <w:jc w:val="left"/>
        <w:rPr>
          <w:rFonts w:ascii="仿宋_GB2312" w:hAnsi="仿宋_GB2312" w:eastAsia="仿宋_GB2312" w:cs="仿宋_GB2312"/>
          <w:color w:val="auto"/>
          <w:sz w:val="28"/>
          <w:szCs w:val="28"/>
        </w:rPr>
      </w:pPr>
      <w:bookmarkStart w:id="109" w:name="39"/>
      <w:bookmarkStart w:id="110" w:name="_Toc422322516"/>
      <w:bookmarkStart w:id="111" w:name="_Toc419045096"/>
      <w:r>
        <w:rPr>
          <w:rFonts w:hint="eastAsia" w:ascii="仿宋_GB2312" w:hAnsi="仿宋_GB2312" w:eastAsia="仿宋_GB2312" w:cs="仿宋_GB2312"/>
          <w:color w:val="auto"/>
          <w:sz w:val="28"/>
          <w:szCs w:val="28"/>
        </w:rPr>
        <w:t>8.1</w:t>
      </w:r>
      <w:bookmarkEnd w:id="109"/>
      <w:r>
        <w:rPr>
          <w:rFonts w:hint="eastAsia" w:ascii="仿宋_GB2312" w:hAnsi="仿宋_GB2312" w:eastAsia="仿宋_GB2312" w:cs="仿宋_GB2312"/>
          <w:color w:val="auto"/>
          <w:sz w:val="28"/>
          <w:szCs w:val="28"/>
        </w:rPr>
        <w:t>考察及相关费用</w:t>
      </w:r>
      <w:bookmarkEnd w:id="110"/>
      <w:bookmarkEnd w:id="111"/>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咨询人在履行本合同过程中产生的考察费、现场踏勘费、差旅费等相关费用均由咨询人承担。</w:t>
      </w:r>
    </w:p>
    <w:p>
      <w:pPr>
        <w:pStyle w:val="55"/>
        <w:spacing w:line="440" w:lineRule="exact"/>
        <w:ind w:firstLine="560" w:firstLineChars="200"/>
        <w:jc w:val="left"/>
        <w:rPr>
          <w:rFonts w:ascii="仿宋_GB2312" w:hAnsi="仿宋_GB2312" w:eastAsia="仿宋_GB2312" w:cs="仿宋_GB2312"/>
          <w:color w:val="auto"/>
          <w:sz w:val="28"/>
          <w:szCs w:val="28"/>
        </w:rPr>
      </w:pPr>
      <w:bookmarkStart w:id="112" w:name="_Toc422322517"/>
      <w:r>
        <w:rPr>
          <w:rFonts w:hint="eastAsia" w:ascii="仿宋_GB2312" w:hAnsi="仿宋_GB2312" w:eastAsia="仿宋_GB2312" w:cs="仿宋_GB2312"/>
          <w:color w:val="auto"/>
          <w:sz w:val="28"/>
          <w:szCs w:val="28"/>
        </w:rPr>
        <w:t>8.2奖励</w:t>
      </w:r>
      <w:bookmarkEnd w:id="112"/>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对于咨询人在服务过程中提出合理化建议，使委托人获得效益的，双方协商确定奖励金额。奖励金额在合理化建议被采纳后，与最近一期的正常工作酬金同期支付。</w:t>
      </w:r>
    </w:p>
    <w:p>
      <w:pPr>
        <w:pStyle w:val="55"/>
        <w:spacing w:line="440" w:lineRule="exact"/>
        <w:ind w:firstLine="560" w:firstLineChars="200"/>
        <w:jc w:val="left"/>
        <w:rPr>
          <w:rFonts w:ascii="仿宋_GB2312" w:hAnsi="仿宋_GB2312" w:eastAsia="仿宋_GB2312" w:cs="仿宋_GB2312"/>
          <w:color w:val="auto"/>
          <w:sz w:val="28"/>
          <w:szCs w:val="28"/>
        </w:rPr>
      </w:pPr>
      <w:bookmarkStart w:id="113" w:name="_Toc422322518"/>
      <w:r>
        <w:rPr>
          <w:rFonts w:hint="eastAsia" w:ascii="仿宋_GB2312" w:hAnsi="仿宋_GB2312" w:eastAsia="仿宋_GB2312" w:cs="仿宋_GB2312"/>
          <w:color w:val="auto"/>
          <w:sz w:val="28"/>
          <w:szCs w:val="28"/>
        </w:rPr>
        <w:t>8.3保密</w:t>
      </w:r>
      <w:bookmarkEnd w:id="113"/>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在本合同履行期间或约定的期限内，双方不得泄露对方任何资料，亦不得泄露与实施工程有关的第三人所提供的保密资料。</w:t>
      </w:r>
    </w:p>
    <w:p>
      <w:pPr>
        <w:pStyle w:val="55"/>
        <w:spacing w:line="440" w:lineRule="exact"/>
        <w:ind w:firstLine="560" w:firstLineChars="200"/>
        <w:jc w:val="left"/>
        <w:rPr>
          <w:rFonts w:ascii="仿宋_GB2312" w:hAnsi="仿宋_GB2312" w:eastAsia="仿宋_GB2312" w:cs="仿宋_GB2312"/>
          <w:color w:val="auto"/>
          <w:sz w:val="28"/>
          <w:szCs w:val="28"/>
        </w:rPr>
      </w:pPr>
      <w:bookmarkStart w:id="114" w:name="_Toc419045097"/>
      <w:bookmarkStart w:id="115" w:name="_Toc422322519"/>
      <w:r>
        <w:rPr>
          <w:rFonts w:hint="eastAsia" w:ascii="仿宋_GB2312" w:hAnsi="仿宋_GB2312" w:eastAsia="仿宋_GB2312" w:cs="仿宋_GB2312"/>
          <w:color w:val="auto"/>
          <w:sz w:val="28"/>
          <w:szCs w:val="28"/>
        </w:rPr>
        <w:t>8.4</w:t>
      </w:r>
      <w:bookmarkEnd w:id="114"/>
      <w:r>
        <w:rPr>
          <w:rFonts w:hint="eastAsia" w:ascii="仿宋_GB2312" w:hAnsi="仿宋_GB2312" w:eastAsia="仿宋_GB2312" w:cs="仿宋_GB2312"/>
          <w:color w:val="auto"/>
          <w:sz w:val="28"/>
          <w:szCs w:val="28"/>
        </w:rPr>
        <w:t>联络</w:t>
      </w:r>
      <w:bookmarkEnd w:id="115"/>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8.4.1与合同有关的通知、指示、要求、决定等，均应采用书面形式，并应在约定的期限内送达接收人和送达地点。</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8.4.2委托人和咨询人应约定各自的送达接收人、送达地点、电子邮箱。任何一方指定的接收人或送达地点或电子邮箱发生变动的，应提前3天以书面形式通知对方，否则视为未发生变动。</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8.4.3委托人和咨询人应当及时签收另一方送达至送达地点和指定接收人的往来函件，如确有充分证据证明一方无正当理由拒不签收的，视为认可往来函件的内容。</w:t>
      </w:r>
    </w:p>
    <w:p>
      <w:pPr>
        <w:pStyle w:val="55"/>
        <w:spacing w:line="440" w:lineRule="exact"/>
        <w:ind w:firstLine="560" w:firstLineChars="200"/>
        <w:jc w:val="left"/>
        <w:rPr>
          <w:rFonts w:ascii="仿宋_GB2312" w:hAnsi="仿宋_GB2312" w:eastAsia="仿宋_GB2312" w:cs="仿宋_GB2312"/>
          <w:color w:val="auto"/>
          <w:sz w:val="28"/>
          <w:szCs w:val="28"/>
        </w:rPr>
      </w:pPr>
      <w:bookmarkStart w:id="116" w:name="_Toc422322520"/>
      <w:r>
        <w:rPr>
          <w:rFonts w:hint="eastAsia" w:ascii="仿宋_GB2312" w:hAnsi="仿宋_GB2312" w:eastAsia="仿宋_GB2312" w:cs="仿宋_GB2312"/>
          <w:color w:val="auto"/>
          <w:sz w:val="28"/>
          <w:szCs w:val="28"/>
        </w:rPr>
        <w:t>8.5知识产权</w:t>
      </w:r>
      <w:bookmarkEnd w:id="116"/>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双方保证在履行本合同过程中不侵犯对方及第三方的知识产权。因咨询人侵犯他人知识产权所引起的责任，由咨询人承担；因委托人提供的基础资料导致侵权的，由委托人承担责任。</w:t>
      </w:r>
    </w:p>
    <w:p>
      <w:pPr>
        <w:pStyle w:val="55"/>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除专用条件另有约定外，双方均有权在履行本合同保密义务并且不损害对方利益的情况下，将履行本合同形成的有关成果文件用于企业宣传、申报奖项以及接受上级主管部门的检查。</w:t>
      </w:r>
    </w:p>
    <w:p>
      <w:pPr>
        <w:pStyle w:val="4"/>
        <w:spacing w:after="120" w:line="440" w:lineRule="exact"/>
      </w:pPr>
      <w:bookmarkStart w:id="117" w:name="_Toc101431662"/>
      <w:bookmarkStart w:id="118" w:name="_Toc422322522"/>
      <w:bookmarkStart w:id="119" w:name="_Toc419045099"/>
      <w:r>
        <w:rPr>
          <w:rFonts w:hint="eastAsia"/>
          <w:sz w:val="30"/>
          <w:szCs w:val="30"/>
        </w:rPr>
        <w:t>第三部分　专用条件</w:t>
      </w:r>
      <w:bookmarkEnd w:id="117"/>
    </w:p>
    <w:p>
      <w:pPr>
        <w:pStyle w:val="18"/>
        <w:spacing w:before="0" w:after="0" w:line="440" w:lineRule="exact"/>
        <w:ind w:firstLine="562" w:firstLineChars="200"/>
        <w:jc w:val="left"/>
        <w:rPr>
          <w:rFonts w:ascii="仿宋_GB2312" w:hAnsi="仿宋_GB2312" w:eastAsia="仿宋_GB2312" w:cs="仿宋_GB2312"/>
          <w:color w:val="auto"/>
          <w:sz w:val="28"/>
          <w:szCs w:val="28"/>
        </w:rPr>
      </w:pPr>
      <w:bookmarkStart w:id="120" w:name="_Toc101431663"/>
      <w:r>
        <w:rPr>
          <w:rFonts w:hint="eastAsia" w:ascii="仿宋_GB2312" w:hAnsi="仿宋_GB2312" w:eastAsia="仿宋_GB2312" w:cs="仿宋_GB2312"/>
          <w:color w:val="auto"/>
          <w:sz w:val="28"/>
          <w:szCs w:val="28"/>
        </w:rPr>
        <w:t>1.词语定义、语言、解释顺序与适用法律</w:t>
      </w:r>
      <w:bookmarkEnd w:id="118"/>
      <w:bookmarkEnd w:id="119"/>
      <w:bookmarkEnd w:id="120"/>
    </w:p>
    <w:p>
      <w:pPr>
        <w:spacing w:line="440" w:lineRule="exact"/>
        <w:ind w:firstLine="560" w:firstLineChars="200"/>
        <w:rPr>
          <w:rFonts w:ascii="仿宋_GB2312" w:hAnsi="仿宋_GB2312" w:eastAsia="仿宋_GB2312" w:cs="仿宋_GB2312"/>
          <w:color w:val="auto"/>
          <w:sz w:val="28"/>
          <w:szCs w:val="28"/>
        </w:rPr>
      </w:pPr>
      <w:bookmarkStart w:id="121" w:name="_Toc422322524"/>
      <w:bookmarkStart w:id="122" w:name="_Toc419045101"/>
      <w:r>
        <w:rPr>
          <w:rFonts w:hint="eastAsia" w:ascii="仿宋_GB2312" w:hAnsi="仿宋_GB2312" w:eastAsia="仿宋_GB2312" w:cs="仿宋_GB2312"/>
          <w:color w:val="auto"/>
          <w:sz w:val="28"/>
          <w:szCs w:val="28"/>
        </w:rPr>
        <w:t>1.1 语言</w:t>
      </w:r>
      <w:bookmarkEnd w:id="121"/>
      <w:bookmarkEnd w:id="122"/>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本合同文件仅使用中文。</w:t>
      </w:r>
    </w:p>
    <w:p>
      <w:pPr>
        <w:pStyle w:val="15"/>
        <w:spacing w:before="0" w:line="440" w:lineRule="exact"/>
        <w:ind w:firstLine="560" w:firstLineChars="200"/>
        <w:jc w:val="left"/>
        <w:rPr>
          <w:rFonts w:ascii="仿宋_GB2312" w:hAnsi="仿宋_GB2312" w:eastAsia="仿宋_GB2312" w:cs="仿宋_GB2312"/>
          <w:b w:val="0"/>
          <w:bCs w:val="0"/>
          <w:color w:val="auto"/>
          <w:kern w:val="2"/>
          <w:sz w:val="28"/>
          <w:szCs w:val="28"/>
        </w:rPr>
      </w:pPr>
      <w:bookmarkStart w:id="123" w:name="_Toc422322525"/>
      <w:r>
        <w:rPr>
          <w:rFonts w:hint="eastAsia" w:ascii="仿宋_GB2312" w:hAnsi="仿宋_GB2312" w:eastAsia="仿宋_GB2312" w:cs="仿宋_GB2312"/>
          <w:b w:val="0"/>
          <w:bCs w:val="0"/>
          <w:color w:val="auto"/>
          <w:kern w:val="2"/>
          <w:sz w:val="28"/>
          <w:szCs w:val="28"/>
        </w:rPr>
        <w:t>1.2合同文件的优先顺序</w:t>
      </w:r>
      <w:bookmarkEnd w:id="123"/>
    </w:p>
    <w:p>
      <w:pPr>
        <w:spacing w:line="440" w:lineRule="exact"/>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本合同文件的解释顺序为：</w:t>
      </w:r>
      <w:r>
        <w:rPr>
          <w:rFonts w:hint="eastAsia" w:ascii="仿宋_GB2312" w:hAnsi="仿宋_GB2312" w:eastAsia="仿宋_GB2312" w:cs="仿宋_GB2312"/>
          <w:color w:val="auto"/>
          <w:sz w:val="28"/>
          <w:szCs w:val="28"/>
          <w:u w:val="single"/>
        </w:rPr>
        <w:t xml:space="preserve">     。</w:t>
      </w:r>
    </w:p>
    <w:p>
      <w:pPr>
        <w:spacing w:line="440" w:lineRule="exact"/>
        <w:ind w:firstLine="560" w:firstLineChars="200"/>
        <w:rPr>
          <w:rFonts w:ascii="仿宋_GB2312" w:hAnsi="仿宋_GB2312" w:eastAsia="仿宋_GB2312" w:cs="仿宋_GB2312"/>
          <w:color w:val="auto"/>
          <w:sz w:val="28"/>
          <w:szCs w:val="28"/>
        </w:rPr>
      </w:pPr>
      <w:bookmarkStart w:id="124" w:name="_Toc419045102"/>
      <w:bookmarkStart w:id="125" w:name="_Toc422322526"/>
      <w:r>
        <w:rPr>
          <w:rFonts w:hint="eastAsia" w:ascii="仿宋_GB2312" w:hAnsi="仿宋_GB2312" w:eastAsia="仿宋_GB2312" w:cs="仿宋_GB2312"/>
          <w:color w:val="auto"/>
          <w:sz w:val="28"/>
          <w:szCs w:val="28"/>
        </w:rPr>
        <w:t>1.3适用法律</w:t>
      </w:r>
      <w:bookmarkEnd w:id="124"/>
      <w:bookmarkEnd w:id="125"/>
    </w:p>
    <w:p>
      <w:pPr>
        <w:spacing w:line="440" w:lineRule="exact"/>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本合同适用的其他规范性文件包括:</w:t>
      </w:r>
      <w:r>
        <w:rPr>
          <w:rFonts w:hint="eastAsia" w:ascii="仿宋_GB2312" w:hAnsi="仿宋_GB2312" w:eastAsia="仿宋_GB2312" w:cs="仿宋_GB2312"/>
          <w:color w:val="auto"/>
          <w:sz w:val="28"/>
          <w:szCs w:val="28"/>
          <w:u w:val="single"/>
        </w:rPr>
        <w:t xml:space="preserve">  </w:t>
      </w:r>
    </w:p>
    <w:p>
      <w:pPr>
        <w:pStyle w:val="18"/>
        <w:spacing w:before="0" w:after="0" w:line="440" w:lineRule="exact"/>
        <w:ind w:firstLine="562" w:firstLineChars="200"/>
        <w:jc w:val="left"/>
        <w:rPr>
          <w:rFonts w:ascii="仿宋_GB2312" w:hAnsi="仿宋_GB2312" w:eastAsia="仿宋_GB2312" w:cs="仿宋_GB2312"/>
          <w:color w:val="auto"/>
          <w:sz w:val="28"/>
          <w:szCs w:val="28"/>
        </w:rPr>
      </w:pPr>
      <w:bookmarkStart w:id="126" w:name="_Toc419045103"/>
      <w:bookmarkStart w:id="127" w:name="_Toc422322527"/>
      <w:bookmarkStart w:id="128" w:name="_Toc101431664"/>
      <w:r>
        <w:rPr>
          <w:rFonts w:hint="eastAsia" w:ascii="仿宋_GB2312" w:hAnsi="仿宋_GB2312" w:eastAsia="仿宋_GB2312" w:cs="仿宋_GB2312"/>
          <w:color w:val="auto"/>
          <w:sz w:val="28"/>
          <w:szCs w:val="28"/>
        </w:rPr>
        <w:t>2.委托人的义务</w:t>
      </w:r>
      <w:bookmarkEnd w:id="126"/>
      <w:bookmarkEnd w:id="127"/>
      <w:bookmarkEnd w:id="128"/>
    </w:p>
    <w:p>
      <w:pPr>
        <w:spacing w:line="440" w:lineRule="exact"/>
        <w:ind w:firstLine="560" w:firstLineChars="200"/>
        <w:rPr>
          <w:rFonts w:ascii="仿宋_GB2312" w:hAnsi="仿宋_GB2312" w:eastAsia="仿宋_GB2312" w:cs="仿宋_GB2312"/>
          <w:color w:val="auto"/>
          <w:sz w:val="28"/>
          <w:szCs w:val="28"/>
        </w:rPr>
      </w:pPr>
      <w:bookmarkStart w:id="129" w:name="_Toc422322528"/>
      <w:bookmarkStart w:id="130" w:name="_Toc419045104"/>
      <w:r>
        <w:rPr>
          <w:rFonts w:hint="eastAsia" w:ascii="仿宋_GB2312" w:hAnsi="仿宋_GB2312" w:eastAsia="仿宋_GB2312" w:cs="仿宋_GB2312"/>
          <w:color w:val="auto"/>
          <w:sz w:val="28"/>
          <w:szCs w:val="28"/>
        </w:rPr>
        <w:t>2.1提供资料</w:t>
      </w:r>
      <w:bookmarkEnd w:id="129"/>
      <w:bookmarkEnd w:id="130"/>
    </w:p>
    <w:p>
      <w:pPr>
        <w:spacing w:line="440" w:lineRule="exact"/>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 xml:space="preserve">委托人向咨询人提供与本合同业务有关资料的时间为： </w:t>
      </w:r>
      <w:r>
        <w:rPr>
          <w:rFonts w:hint="eastAsia" w:ascii="仿宋_GB2312" w:hAnsi="仿宋_GB2312" w:eastAsia="仿宋_GB2312" w:cs="仿宋_GB2312"/>
          <w:color w:val="auto"/>
          <w:sz w:val="28"/>
          <w:szCs w:val="28"/>
          <w:u w:val="single"/>
        </w:rPr>
        <w:t xml:space="preserve">   。</w:t>
      </w:r>
    </w:p>
    <w:p>
      <w:pPr>
        <w:spacing w:line="440" w:lineRule="exact"/>
        <w:ind w:firstLine="560" w:firstLineChars="200"/>
        <w:rPr>
          <w:rFonts w:ascii="仿宋_GB2312" w:hAnsi="仿宋_GB2312" w:eastAsia="仿宋_GB2312" w:cs="仿宋_GB2312"/>
          <w:color w:val="auto"/>
          <w:sz w:val="28"/>
          <w:szCs w:val="28"/>
        </w:rPr>
      </w:pPr>
      <w:bookmarkStart w:id="131" w:name="_Toc419045105"/>
      <w:bookmarkStart w:id="132" w:name="_Toc422322529"/>
      <w:r>
        <w:rPr>
          <w:rFonts w:hint="eastAsia" w:ascii="仿宋_GB2312" w:hAnsi="仿宋_GB2312" w:eastAsia="仿宋_GB2312" w:cs="仿宋_GB2312"/>
          <w:color w:val="auto"/>
          <w:sz w:val="28"/>
          <w:szCs w:val="28"/>
        </w:rPr>
        <w:t>2.2提供工作条件</w:t>
      </w:r>
      <w:bookmarkEnd w:id="131"/>
      <w:bookmarkEnd w:id="132"/>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2.2.1委托人不向项目咨询人员提供任何房屋及设备。</w:t>
      </w:r>
    </w:p>
    <w:p>
      <w:pPr>
        <w:spacing w:line="440" w:lineRule="exact"/>
        <w:ind w:firstLine="560" w:firstLineChars="200"/>
        <w:rPr>
          <w:rFonts w:ascii="仿宋_GB2312" w:hAnsi="仿宋_GB2312" w:eastAsia="仿宋_GB2312" w:cs="仿宋_GB2312"/>
          <w:color w:val="auto"/>
          <w:sz w:val="28"/>
          <w:szCs w:val="28"/>
        </w:rPr>
      </w:pPr>
      <w:bookmarkStart w:id="133" w:name="_Toc422322530"/>
      <w:bookmarkStart w:id="134" w:name="_Toc419045106"/>
      <w:r>
        <w:rPr>
          <w:rFonts w:hint="eastAsia" w:ascii="仿宋_GB2312" w:hAnsi="仿宋_GB2312" w:eastAsia="仿宋_GB2312" w:cs="仿宋_GB2312"/>
          <w:color w:val="auto"/>
          <w:sz w:val="28"/>
          <w:szCs w:val="28"/>
        </w:rPr>
        <w:t>2.3委托人代表</w:t>
      </w:r>
      <w:bookmarkEnd w:id="133"/>
      <w:bookmarkEnd w:id="134"/>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委托人代表为：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spacing w:line="440" w:lineRule="exact"/>
        <w:ind w:firstLine="560" w:firstLineChars="200"/>
        <w:rPr>
          <w:rFonts w:ascii="仿宋_GB2312" w:hAnsi="仿宋_GB2312" w:eastAsia="仿宋_GB2312" w:cs="仿宋_GB2312"/>
          <w:color w:val="auto"/>
          <w:sz w:val="28"/>
          <w:szCs w:val="28"/>
        </w:rPr>
      </w:pPr>
      <w:bookmarkStart w:id="135" w:name="_Toc422322531"/>
      <w:r>
        <w:rPr>
          <w:rFonts w:hint="eastAsia" w:ascii="仿宋_GB2312" w:hAnsi="仿宋_GB2312" w:eastAsia="仿宋_GB2312" w:cs="仿宋_GB2312"/>
          <w:color w:val="auto"/>
          <w:sz w:val="28"/>
          <w:szCs w:val="28"/>
        </w:rPr>
        <w:t>2.4答复</w:t>
      </w:r>
      <w:bookmarkEnd w:id="135"/>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委托人同意在</w:t>
      </w:r>
      <w:r>
        <w:rPr>
          <w:rFonts w:hint="eastAsia" w:ascii="仿宋_GB2312" w:hAnsi="仿宋_GB2312" w:eastAsia="仿宋_GB2312" w:cs="仿宋_GB2312"/>
          <w:color w:val="auto"/>
          <w:sz w:val="28"/>
          <w:szCs w:val="28"/>
          <w:u w:val="single"/>
        </w:rPr>
        <w:t xml:space="preserve">    日</w:t>
      </w:r>
      <w:r>
        <w:rPr>
          <w:rFonts w:hint="eastAsia" w:ascii="仿宋_GB2312" w:hAnsi="仿宋_GB2312" w:eastAsia="仿宋_GB2312" w:cs="仿宋_GB2312"/>
          <w:color w:val="auto"/>
          <w:sz w:val="28"/>
          <w:szCs w:val="28"/>
        </w:rPr>
        <w:t>内，对咨询人书面提交并要求做出决定的事宜给予书面答复。逾期未答复的，视为委托人认可。</w:t>
      </w:r>
    </w:p>
    <w:p>
      <w:pPr>
        <w:pStyle w:val="18"/>
        <w:spacing w:before="0" w:after="0" w:line="440" w:lineRule="exact"/>
        <w:ind w:firstLine="562" w:firstLineChars="200"/>
        <w:jc w:val="left"/>
        <w:rPr>
          <w:rFonts w:ascii="仿宋_GB2312" w:hAnsi="仿宋_GB2312" w:eastAsia="仿宋_GB2312" w:cs="仿宋_GB2312"/>
          <w:color w:val="auto"/>
          <w:sz w:val="28"/>
          <w:szCs w:val="28"/>
        </w:rPr>
      </w:pPr>
      <w:bookmarkStart w:id="136" w:name="_Toc101431665"/>
      <w:bookmarkStart w:id="137" w:name="_Toc422322532"/>
      <w:bookmarkStart w:id="138" w:name="_Toc419045107"/>
      <w:r>
        <w:rPr>
          <w:rFonts w:hint="eastAsia" w:ascii="仿宋_GB2312" w:hAnsi="仿宋_GB2312" w:eastAsia="仿宋_GB2312" w:cs="仿宋_GB2312"/>
          <w:color w:val="auto"/>
          <w:sz w:val="28"/>
          <w:szCs w:val="28"/>
        </w:rPr>
        <w:t>3.咨询人的义务</w:t>
      </w:r>
      <w:bookmarkEnd w:id="136"/>
      <w:bookmarkEnd w:id="137"/>
      <w:bookmarkEnd w:id="138"/>
    </w:p>
    <w:p>
      <w:pPr>
        <w:pStyle w:val="15"/>
        <w:spacing w:before="0" w:line="440" w:lineRule="exact"/>
        <w:ind w:firstLine="560" w:firstLineChars="200"/>
        <w:jc w:val="left"/>
        <w:rPr>
          <w:rFonts w:ascii="仿宋_GB2312" w:hAnsi="仿宋_GB2312" w:eastAsia="仿宋_GB2312" w:cs="仿宋_GB2312"/>
          <w:b w:val="0"/>
          <w:bCs w:val="0"/>
          <w:color w:val="auto"/>
          <w:kern w:val="2"/>
          <w:sz w:val="28"/>
          <w:szCs w:val="28"/>
        </w:rPr>
      </w:pPr>
      <w:bookmarkStart w:id="139" w:name="_Toc422322533"/>
      <w:bookmarkStart w:id="140" w:name="_Toc419045109"/>
      <w:r>
        <w:rPr>
          <w:rFonts w:hint="eastAsia" w:ascii="仿宋_GB2312" w:hAnsi="仿宋_GB2312" w:eastAsia="仿宋_GB2312" w:cs="仿宋_GB2312"/>
          <w:b w:val="0"/>
          <w:bCs w:val="0"/>
          <w:color w:val="auto"/>
          <w:kern w:val="2"/>
          <w:sz w:val="28"/>
          <w:szCs w:val="28"/>
        </w:rPr>
        <w:t>3.1项目咨询团队及人员</w:t>
      </w:r>
      <w:bookmarkEnd w:id="139"/>
      <w:bookmarkEnd w:id="140"/>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3.1.1项目咨询团队的主要人员应具有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资格条件，团队人员的数量不少于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人。</w:t>
      </w:r>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3.1.2项目负责人为：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，项目负责人为履行本合同的权限为：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pStyle w:val="55"/>
        <w:spacing w:line="440" w:lineRule="exact"/>
        <w:ind w:firstLine="560" w:firstLineChars="200"/>
        <w:jc w:val="left"/>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3.1.3咨询人更换项目咨询团队其他咨询人员的约定：</w:t>
      </w:r>
      <w:r>
        <w:rPr>
          <w:rFonts w:hint="eastAsia" w:ascii="仿宋_GB2312" w:hAnsi="仿宋_GB2312" w:eastAsia="仿宋_GB2312" w:cs="仿宋_GB2312"/>
          <w:color w:val="auto"/>
          <w:sz w:val="28"/>
          <w:szCs w:val="28"/>
          <w:u w:val="single"/>
        </w:rPr>
        <w:t xml:space="preserve">  </w:t>
      </w:r>
    </w:p>
    <w:p>
      <w:pPr>
        <w:pStyle w:val="55"/>
        <w:spacing w:line="440" w:lineRule="exact"/>
        <w:ind w:firstLine="560" w:firstLineChars="200"/>
        <w:jc w:val="left"/>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3.1.4委托人要求更换咨询人员的情形还包括：</w:t>
      </w:r>
      <w:r>
        <w:rPr>
          <w:rFonts w:hint="eastAsia" w:ascii="仿宋_GB2312" w:hAnsi="仿宋_GB2312" w:eastAsia="仿宋_GB2312" w:cs="仿宋_GB2312"/>
          <w:color w:val="auto"/>
          <w:sz w:val="28"/>
          <w:szCs w:val="28"/>
          <w:u w:val="single"/>
        </w:rPr>
        <w:t xml:space="preserve">  </w:t>
      </w:r>
    </w:p>
    <w:p>
      <w:pPr>
        <w:pStyle w:val="15"/>
        <w:spacing w:before="0" w:line="440" w:lineRule="exact"/>
        <w:ind w:firstLine="560" w:firstLineChars="200"/>
        <w:jc w:val="left"/>
        <w:rPr>
          <w:rFonts w:ascii="仿宋_GB2312" w:hAnsi="仿宋_GB2312" w:eastAsia="仿宋_GB2312" w:cs="仿宋_GB2312"/>
          <w:b w:val="0"/>
          <w:bCs w:val="0"/>
          <w:color w:val="auto"/>
          <w:kern w:val="2"/>
          <w:sz w:val="28"/>
          <w:szCs w:val="28"/>
        </w:rPr>
      </w:pPr>
      <w:bookmarkStart w:id="141" w:name="_Toc419045110"/>
      <w:bookmarkStart w:id="142" w:name="_Toc422322534"/>
      <w:r>
        <w:rPr>
          <w:rFonts w:hint="eastAsia" w:ascii="仿宋_GB2312" w:hAnsi="仿宋_GB2312" w:eastAsia="仿宋_GB2312" w:cs="仿宋_GB2312"/>
          <w:b w:val="0"/>
          <w:bCs w:val="0"/>
          <w:color w:val="auto"/>
          <w:kern w:val="2"/>
          <w:sz w:val="28"/>
          <w:szCs w:val="28"/>
        </w:rPr>
        <w:t>3.2咨询人的工作要求</w:t>
      </w:r>
      <w:bookmarkEnd w:id="141"/>
      <w:bookmarkEnd w:id="142"/>
    </w:p>
    <w:p>
      <w:pPr>
        <w:spacing w:line="440" w:lineRule="exact"/>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3.2.1咨询人向委托人提供有关资料的时间：</w:t>
      </w:r>
      <w:r>
        <w:rPr>
          <w:rFonts w:hint="eastAsia" w:ascii="仿宋_GB2312" w:hAnsi="仿宋_GB2312" w:eastAsia="仿宋_GB2312" w:cs="仿宋_GB2312"/>
          <w:color w:val="auto"/>
          <w:sz w:val="28"/>
          <w:szCs w:val="28"/>
          <w:u w:val="single"/>
        </w:rPr>
        <w:t xml:space="preserve">      </w:t>
      </w:r>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3.2.4咨询人应在收到委托人以书面形式提出的建议或者异议后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日内给予书面答复。</w:t>
      </w:r>
    </w:p>
    <w:p>
      <w:pPr>
        <w:spacing w:line="440" w:lineRule="exact"/>
        <w:ind w:firstLine="560" w:firstLineChars="200"/>
        <w:rPr>
          <w:rFonts w:ascii="仿宋_GB2312" w:hAnsi="仿宋_GB2312" w:eastAsia="仿宋_GB2312" w:cs="仿宋_GB2312"/>
          <w:color w:val="auto"/>
          <w:sz w:val="28"/>
          <w:szCs w:val="28"/>
        </w:rPr>
      </w:pPr>
      <w:bookmarkStart w:id="143" w:name="_Toc422322535"/>
      <w:bookmarkStart w:id="144" w:name="_Toc419045111"/>
      <w:r>
        <w:rPr>
          <w:rFonts w:hint="eastAsia" w:ascii="仿宋_GB2312" w:hAnsi="仿宋_GB2312" w:eastAsia="仿宋_GB2312" w:cs="仿宋_GB2312"/>
          <w:color w:val="auto"/>
          <w:sz w:val="28"/>
          <w:szCs w:val="28"/>
        </w:rPr>
        <w:t>3.3咨询人的工作依据</w:t>
      </w:r>
      <w:bookmarkEnd w:id="143"/>
      <w:bookmarkEnd w:id="144"/>
    </w:p>
    <w:p>
      <w:pPr>
        <w:spacing w:line="440" w:lineRule="exact"/>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经双方协商，本合同约定的造价咨询服务适用的技术标准、规范、定额等工作依据为：</w:t>
      </w:r>
      <w:r>
        <w:rPr>
          <w:rFonts w:hint="eastAsia" w:ascii="仿宋_GB2312" w:hAnsi="仿宋_GB2312" w:eastAsia="仿宋_GB2312" w:cs="仿宋_GB2312"/>
          <w:color w:val="auto"/>
          <w:sz w:val="28"/>
          <w:szCs w:val="28"/>
          <w:u w:val="single"/>
        </w:rPr>
        <w:t xml:space="preserve">  </w:t>
      </w:r>
    </w:p>
    <w:p>
      <w:pPr>
        <w:spacing w:line="440" w:lineRule="exact"/>
        <w:ind w:firstLine="562" w:firstLineChars="200"/>
        <w:rPr>
          <w:rFonts w:ascii="仿宋_GB2312" w:hAnsi="仿宋_GB2312" w:eastAsia="仿宋_GB2312" w:cs="仿宋_GB2312"/>
          <w:b/>
          <w:bCs/>
          <w:color w:val="auto"/>
          <w:sz w:val="28"/>
          <w:szCs w:val="28"/>
        </w:rPr>
      </w:pPr>
      <w:bookmarkStart w:id="145" w:name="_Toc422322537"/>
      <w:bookmarkStart w:id="146" w:name="_Toc419045113"/>
      <w:r>
        <w:rPr>
          <w:rFonts w:hint="eastAsia" w:ascii="仿宋_GB2312" w:hAnsi="仿宋_GB2312" w:eastAsia="仿宋_GB2312" w:cs="仿宋_GB2312"/>
          <w:b/>
          <w:bCs/>
          <w:color w:val="auto"/>
          <w:sz w:val="28"/>
          <w:szCs w:val="28"/>
        </w:rPr>
        <w:t>4. 违约责任</w:t>
      </w:r>
      <w:bookmarkEnd w:id="145"/>
      <w:bookmarkEnd w:id="146"/>
    </w:p>
    <w:p>
      <w:pPr>
        <w:spacing w:line="440" w:lineRule="exact"/>
        <w:ind w:firstLine="560" w:firstLineChars="200"/>
        <w:rPr>
          <w:rFonts w:ascii="仿宋_GB2312" w:hAnsi="仿宋_GB2312" w:eastAsia="仿宋_GB2312" w:cs="仿宋_GB2312"/>
          <w:color w:val="auto"/>
          <w:sz w:val="28"/>
          <w:szCs w:val="28"/>
        </w:rPr>
      </w:pPr>
      <w:bookmarkStart w:id="147" w:name="_Toc422322539"/>
      <w:bookmarkStart w:id="148" w:name="_Toc419045114"/>
      <w:r>
        <w:rPr>
          <w:rFonts w:hint="eastAsia" w:ascii="仿宋_GB2312" w:hAnsi="仿宋_GB2312" w:eastAsia="仿宋_GB2312" w:cs="仿宋_GB2312"/>
          <w:color w:val="auto"/>
          <w:sz w:val="28"/>
          <w:szCs w:val="28"/>
        </w:rPr>
        <w:t>4.1咨询人的违约责任</w:t>
      </w:r>
      <w:bookmarkEnd w:id="147"/>
    </w:p>
    <w:bookmarkEnd w:id="148"/>
    <w:p>
      <w:pPr>
        <w:spacing w:line="440" w:lineRule="exact"/>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4.1.1咨询人违约金的支付方法：</w:t>
      </w:r>
      <w:r>
        <w:rPr>
          <w:rFonts w:hint="eastAsia" w:ascii="仿宋_GB2312" w:hAnsi="仿宋_GB2312" w:eastAsia="仿宋_GB2312" w:cs="仿宋_GB2312"/>
          <w:color w:val="auto"/>
          <w:sz w:val="28"/>
          <w:szCs w:val="28"/>
          <w:u w:val="single"/>
        </w:rPr>
        <w:t xml:space="preserve"> </w:t>
      </w:r>
      <w:bookmarkStart w:id="149" w:name="_Toc419045115"/>
      <w:bookmarkStart w:id="150" w:name="_Toc422322540"/>
      <w:r>
        <w:rPr>
          <w:rFonts w:hint="eastAsia" w:ascii="仿宋_GB2312" w:hAnsi="仿宋_GB2312" w:eastAsia="仿宋_GB2312" w:cs="仿宋_GB2312"/>
          <w:color w:val="auto"/>
          <w:sz w:val="28"/>
          <w:szCs w:val="28"/>
          <w:u w:val="single"/>
        </w:rPr>
        <w:t xml:space="preserve">  </w:t>
      </w:r>
    </w:p>
    <w:p>
      <w:pPr>
        <w:spacing w:line="440" w:lineRule="exact"/>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5. 支付</w:t>
      </w:r>
      <w:bookmarkEnd w:id="149"/>
      <w:bookmarkEnd w:id="150"/>
      <w:bookmarkStart w:id="151" w:name="_Toc422322541"/>
      <w:bookmarkStart w:id="152" w:name="_Toc419045116"/>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5.1支付货币</w:t>
      </w:r>
      <w:bookmarkEnd w:id="151"/>
      <w:bookmarkEnd w:id="152"/>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币种为：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spacing w:line="440" w:lineRule="exact"/>
        <w:ind w:firstLine="560" w:firstLineChars="200"/>
        <w:rPr>
          <w:rFonts w:ascii="仿宋_GB2312" w:hAnsi="仿宋_GB2312" w:eastAsia="仿宋_GB2312" w:cs="仿宋_GB2312"/>
          <w:color w:val="auto"/>
          <w:sz w:val="28"/>
          <w:szCs w:val="28"/>
        </w:rPr>
      </w:pPr>
      <w:bookmarkStart w:id="153" w:name="_Toc419045117"/>
      <w:bookmarkStart w:id="154" w:name="_Toc422322542"/>
      <w:r>
        <w:rPr>
          <w:rFonts w:hint="eastAsia" w:ascii="仿宋_GB2312" w:hAnsi="仿宋_GB2312" w:eastAsia="仿宋_GB2312" w:cs="仿宋_GB2312"/>
          <w:color w:val="auto"/>
          <w:sz w:val="28"/>
          <w:szCs w:val="28"/>
        </w:rPr>
        <w:t>5.2 支付申请</w:t>
      </w:r>
      <w:bookmarkEnd w:id="153"/>
      <w:bookmarkEnd w:id="154"/>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咨询人应在本合同约定的付款日期</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日前，向委托人提交支付申请书，委托人根据咨询人提交申请书审核后支付相应酬金。</w:t>
      </w:r>
    </w:p>
    <w:p>
      <w:pPr>
        <w:spacing w:line="440" w:lineRule="exact"/>
        <w:ind w:firstLine="560" w:firstLineChars="200"/>
        <w:rPr>
          <w:rFonts w:ascii="仿宋_GB2312" w:hAnsi="仿宋_GB2312" w:eastAsia="仿宋_GB2312" w:cs="仿宋_GB2312"/>
          <w:color w:val="auto"/>
          <w:sz w:val="28"/>
          <w:szCs w:val="28"/>
        </w:rPr>
      </w:pPr>
      <w:bookmarkStart w:id="155" w:name="_Toc419045118"/>
      <w:bookmarkStart w:id="156" w:name="_Toc422322543"/>
      <w:r>
        <w:rPr>
          <w:rFonts w:hint="eastAsia" w:ascii="仿宋_GB2312" w:hAnsi="仿宋_GB2312" w:eastAsia="仿宋_GB2312" w:cs="仿宋_GB2312"/>
          <w:color w:val="auto"/>
          <w:sz w:val="28"/>
          <w:szCs w:val="28"/>
        </w:rPr>
        <w:t>5.3支付酬金</w:t>
      </w:r>
      <w:bookmarkEnd w:id="155"/>
      <w:bookmarkEnd w:id="156"/>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正常工作酬金的支付：</w:t>
      </w:r>
    </w:p>
    <w:p>
      <w:pPr>
        <w:spacing w:line="440" w:lineRule="exact"/>
        <w:ind w:firstLine="562" w:firstLineChars="200"/>
        <w:rPr>
          <w:rFonts w:ascii="仿宋_GB2312" w:hAnsi="仿宋_GB2312" w:eastAsia="仿宋_GB2312" w:cs="仿宋_GB2312"/>
          <w:b/>
          <w:bCs/>
          <w:color w:val="auto"/>
          <w:sz w:val="28"/>
          <w:szCs w:val="28"/>
        </w:rPr>
      </w:pPr>
      <w:bookmarkStart w:id="157" w:name="_Toc419045119"/>
      <w:bookmarkStart w:id="158" w:name="_Toc422322544"/>
      <w:r>
        <w:rPr>
          <w:rFonts w:hint="eastAsia" w:ascii="仿宋_GB2312" w:hAnsi="仿宋_GB2312" w:eastAsia="仿宋_GB2312" w:cs="仿宋_GB2312"/>
          <w:b/>
          <w:bCs/>
          <w:color w:val="auto"/>
          <w:sz w:val="28"/>
          <w:szCs w:val="28"/>
        </w:rPr>
        <w:t>6. 合同变更、解除与终止</w:t>
      </w:r>
      <w:bookmarkEnd w:id="157"/>
      <w:bookmarkEnd w:id="158"/>
    </w:p>
    <w:p>
      <w:pPr>
        <w:spacing w:line="440" w:lineRule="exact"/>
        <w:ind w:firstLine="560" w:firstLineChars="200"/>
        <w:rPr>
          <w:rFonts w:ascii="仿宋_GB2312" w:hAnsi="仿宋_GB2312" w:eastAsia="仿宋_GB2312" w:cs="仿宋_GB2312"/>
          <w:color w:val="auto"/>
          <w:sz w:val="28"/>
          <w:szCs w:val="28"/>
        </w:rPr>
      </w:pPr>
      <w:bookmarkStart w:id="159" w:name="_Toc419045120"/>
      <w:bookmarkStart w:id="160" w:name="_Toc422322545"/>
      <w:r>
        <w:rPr>
          <w:rFonts w:hint="eastAsia" w:ascii="仿宋_GB2312" w:hAnsi="仿宋_GB2312" w:eastAsia="仿宋_GB2312" w:cs="仿宋_GB2312"/>
          <w:color w:val="auto"/>
          <w:sz w:val="28"/>
          <w:szCs w:val="28"/>
        </w:rPr>
        <w:t>6.1合同变更</w:t>
      </w:r>
      <w:bookmarkEnd w:id="159"/>
      <w:bookmarkEnd w:id="160"/>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6.1.1 除不可抗力外，因非委托人原因导致本合同履行期限延长，咨询人应承担相应违约责任。     </w:t>
      </w:r>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6.1.2因工程规模、服务范围及内容的变化等导致咨询人的工作量增减时，服务酬金的调整方法：</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pPr>
        <w:spacing w:line="440" w:lineRule="exact"/>
        <w:ind w:firstLine="560" w:firstLineChars="200"/>
        <w:rPr>
          <w:rFonts w:ascii="仿宋_GB2312" w:hAnsi="仿宋_GB2312" w:eastAsia="仿宋_GB2312" w:cs="仿宋_GB2312"/>
          <w:color w:val="auto"/>
          <w:sz w:val="28"/>
          <w:szCs w:val="28"/>
        </w:rPr>
      </w:pPr>
      <w:bookmarkStart w:id="161" w:name="_Toc422322546"/>
      <w:r>
        <w:rPr>
          <w:rFonts w:hint="eastAsia" w:ascii="仿宋_GB2312" w:hAnsi="仿宋_GB2312" w:eastAsia="仿宋_GB2312" w:cs="仿宋_GB2312"/>
          <w:color w:val="auto"/>
          <w:sz w:val="28"/>
          <w:szCs w:val="28"/>
        </w:rPr>
        <w:t>6.2合同解除</w:t>
      </w:r>
      <w:bookmarkEnd w:id="161"/>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6.2.1因不可抗力导致的合同解除，双方协商解决。</w:t>
      </w:r>
    </w:p>
    <w:p>
      <w:pPr>
        <w:spacing w:line="440" w:lineRule="exact"/>
        <w:ind w:firstLine="562" w:firstLineChars="200"/>
        <w:rPr>
          <w:rFonts w:ascii="仿宋_GB2312" w:hAnsi="仿宋_GB2312" w:eastAsia="仿宋_GB2312" w:cs="仿宋_GB2312"/>
          <w:b/>
          <w:bCs/>
          <w:color w:val="auto"/>
          <w:sz w:val="28"/>
          <w:szCs w:val="28"/>
        </w:rPr>
      </w:pPr>
      <w:bookmarkStart w:id="162" w:name="_Toc419045121"/>
      <w:bookmarkStart w:id="163" w:name="_Toc422322547"/>
      <w:r>
        <w:rPr>
          <w:rFonts w:hint="eastAsia" w:ascii="仿宋_GB2312" w:hAnsi="仿宋_GB2312" w:eastAsia="仿宋_GB2312" w:cs="仿宋_GB2312"/>
          <w:b/>
          <w:bCs/>
          <w:color w:val="auto"/>
          <w:sz w:val="28"/>
          <w:szCs w:val="28"/>
        </w:rPr>
        <w:t>7. 争议解决</w:t>
      </w:r>
      <w:bookmarkEnd w:id="162"/>
      <w:bookmarkEnd w:id="163"/>
    </w:p>
    <w:p>
      <w:pPr>
        <w:spacing w:line="440" w:lineRule="exact"/>
        <w:ind w:firstLine="560" w:firstLineChars="200"/>
        <w:rPr>
          <w:rFonts w:ascii="仿宋_GB2312" w:hAnsi="仿宋_GB2312" w:eastAsia="仿宋_GB2312" w:cs="仿宋_GB2312"/>
          <w:color w:val="auto"/>
          <w:sz w:val="28"/>
          <w:szCs w:val="28"/>
        </w:rPr>
      </w:pPr>
      <w:bookmarkStart w:id="164" w:name="_Toc422322548"/>
      <w:bookmarkStart w:id="165" w:name="_Toc419045122"/>
      <w:r>
        <w:rPr>
          <w:rFonts w:hint="eastAsia" w:ascii="仿宋_GB2312" w:hAnsi="仿宋_GB2312" w:eastAsia="仿宋_GB2312" w:cs="仿宋_GB2312"/>
          <w:color w:val="auto"/>
          <w:sz w:val="28"/>
          <w:szCs w:val="28"/>
        </w:rPr>
        <w:t>7.</w:t>
      </w:r>
      <w:bookmarkEnd w:id="164"/>
      <w:bookmarkEnd w:id="165"/>
      <w:r>
        <w:rPr>
          <w:rFonts w:hint="eastAsia" w:ascii="仿宋_GB2312" w:hAnsi="仿宋_GB2312" w:eastAsia="仿宋_GB2312" w:cs="仿宋_GB2312"/>
          <w:color w:val="auto"/>
          <w:sz w:val="28"/>
          <w:szCs w:val="28"/>
        </w:rPr>
        <w:t>1仲裁或诉讼</w:t>
      </w:r>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如果双方不能协商解决本合同争议，可以</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人民法院提起诉讼。</w:t>
      </w:r>
    </w:p>
    <w:p>
      <w:pPr>
        <w:spacing w:line="440" w:lineRule="exact"/>
        <w:ind w:firstLine="562" w:firstLineChars="200"/>
        <w:rPr>
          <w:rFonts w:ascii="仿宋_GB2312" w:hAnsi="仿宋_GB2312" w:eastAsia="仿宋_GB2312" w:cs="仿宋_GB2312"/>
          <w:b/>
          <w:bCs/>
          <w:color w:val="auto"/>
          <w:sz w:val="28"/>
          <w:szCs w:val="28"/>
        </w:rPr>
      </w:pPr>
      <w:bookmarkStart w:id="166" w:name="_Toc419045123"/>
      <w:bookmarkStart w:id="167" w:name="_Toc422322550"/>
      <w:r>
        <w:rPr>
          <w:rFonts w:hint="eastAsia" w:ascii="仿宋_GB2312" w:hAnsi="仿宋_GB2312" w:eastAsia="仿宋_GB2312" w:cs="仿宋_GB2312"/>
          <w:b/>
          <w:bCs/>
          <w:color w:val="auto"/>
          <w:sz w:val="28"/>
          <w:szCs w:val="28"/>
        </w:rPr>
        <w:t>8. 其他</w:t>
      </w:r>
      <w:bookmarkEnd w:id="166"/>
      <w:bookmarkEnd w:id="167"/>
    </w:p>
    <w:p>
      <w:pPr>
        <w:spacing w:line="440" w:lineRule="exact"/>
        <w:ind w:firstLine="560" w:firstLineChars="200"/>
        <w:rPr>
          <w:rFonts w:ascii="仿宋_GB2312" w:hAnsi="仿宋_GB2312" w:eastAsia="仿宋_GB2312" w:cs="仿宋_GB2312"/>
          <w:color w:val="auto"/>
          <w:sz w:val="28"/>
          <w:szCs w:val="28"/>
        </w:rPr>
      </w:pPr>
      <w:bookmarkStart w:id="168" w:name="_Toc422322551"/>
      <w:r>
        <w:rPr>
          <w:rFonts w:hint="eastAsia" w:ascii="仿宋_GB2312" w:hAnsi="仿宋_GB2312" w:eastAsia="仿宋_GB2312" w:cs="仿宋_GB2312"/>
          <w:color w:val="auto"/>
          <w:sz w:val="28"/>
          <w:szCs w:val="28"/>
        </w:rPr>
        <w:t>8.1考察及相关费用</w:t>
      </w:r>
      <w:bookmarkEnd w:id="168"/>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咨询人在履行本工程咨询服务时发生的考察、现场踏勘、出差等相关费用均由咨询人自己承担。</w:t>
      </w:r>
    </w:p>
    <w:p>
      <w:pPr>
        <w:spacing w:line="440" w:lineRule="exact"/>
        <w:ind w:firstLine="560" w:firstLineChars="200"/>
        <w:rPr>
          <w:rFonts w:ascii="仿宋_GB2312" w:hAnsi="仿宋_GB2312" w:eastAsia="仿宋_GB2312" w:cs="仿宋_GB2312"/>
          <w:color w:val="auto"/>
          <w:sz w:val="28"/>
          <w:szCs w:val="28"/>
        </w:rPr>
      </w:pPr>
      <w:bookmarkStart w:id="169" w:name="_Toc422322552"/>
      <w:r>
        <w:rPr>
          <w:rFonts w:hint="eastAsia" w:ascii="仿宋_GB2312" w:hAnsi="仿宋_GB2312" w:eastAsia="仿宋_GB2312" w:cs="仿宋_GB2312"/>
          <w:color w:val="auto"/>
          <w:sz w:val="28"/>
          <w:szCs w:val="28"/>
        </w:rPr>
        <w:t>8.2合理化建议奖励</w:t>
      </w:r>
      <w:bookmarkEnd w:id="169"/>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委托人鼓励咨询人在实施合同过程中对委托工程提出合理化建议，委托人可以根据合理化建议的合理性给予咨询人适当的经济奖励。 </w:t>
      </w:r>
    </w:p>
    <w:p>
      <w:pPr>
        <w:spacing w:line="440" w:lineRule="exact"/>
        <w:ind w:firstLine="560" w:firstLineChars="200"/>
        <w:rPr>
          <w:rFonts w:ascii="仿宋_GB2312" w:hAnsi="仿宋_GB2312" w:eastAsia="仿宋_GB2312" w:cs="仿宋_GB2312"/>
          <w:color w:val="auto"/>
          <w:sz w:val="28"/>
          <w:szCs w:val="28"/>
        </w:rPr>
      </w:pPr>
      <w:bookmarkStart w:id="170" w:name="_Toc422322553"/>
      <w:r>
        <w:rPr>
          <w:rFonts w:hint="eastAsia" w:ascii="仿宋_GB2312" w:hAnsi="仿宋_GB2312" w:eastAsia="仿宋_GB2312" w:cs="仿宋_GB2312"/>
          <w:color w:val="auto"/>
          <w:sz w:val="28"/>
          <w:szCs w:val="28"/>
        </w:rPr>
        <w:t>8.3保密</w:t>
      </w:r>
      <w:bookmarkEnd w:id="170"/>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bookmarkStart w:id="171" w:name="_Toc422322554"/>
      <w:r>
        <w:rPr>
          <w:rFonts w:hint="eastAsia" w:ascii="仿宋_GB2312" w:hAnsi="仿宋_GB2312" w:eastAsia="仿宋_GB2312" w:cs="仿宋_GB2312"/>
          <w:color w:val="auto"/>
          <w:sz w:val="28"/>
          <w:szCs w:val="28"/>
        </w:rPr>
        <w:t>咨询人有义务对本工程的所有资料及信息进行严格保密，所有用途必须经过委托人同意，若因咨询人泄密而造成任何的责任及损失，均由咨询人承担全部责任。</w:t>
      </w:r>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8.4联络</w:t>
      </w:r>
      <w:bookmarkEnd w:id="171"/>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8.4.1任何一方与合同有关的通知、指示、要求、决定等，均应  3  日内送达对方指定的接收人和送达地点。</w:t>
      </w:r>
    </w:p>
    <w:p>
      <w:pPr>
        <w:spacing w:line="440" w:lineRule="exact"/>
        <w:ind w:firstLine="560" w:firstLineChars="200"/>
        <w:rPr>
          <w:rFonts w:ascii="仿宋_GB2312" w:hAnsi="仿宋_GB2312" w:eastAsia="仿宋_GB2312" w:cs="仿宋_GB2312"/>
          <w:color w:val="auto"/>
          <w:sz w:val="28"/>
          <w:szCs w:val="28"/>
        </w:rPr>
      </w:pPr>
      <w:bookmarkStart w:id="172" w:name="_Toc422322555"/>
      <w:bookmarkStart w:id="173" w:name="_Toc419045124"/>
      <w:r>
        <w:rPr>
          <w:rFonts w:hint="eastAsia" w:ascii="仿宋_GB2312" w:hAnsi="仿宋_GB2312" w:eastAsia="仿宋_GB2312" w:cs="仿宋_GB2312"/>
          <w:color w:val="auto"/>
          <w:sz w:val="28"/>
          <w:szCs w:val="28"/>
        </w:rPr>
        <w:t>8.5知识产权</w:t>
      </w:r>
      <w:bookmarkEnd w:id="172"/>
      <w:bookmarkEnd w:id="173"/>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委托人及咨询人均有义务保护双方的知识产权。</w:t>
      </w:r>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双方将履行本合同形成的有关成果文件用于企业宣传、申报奖项以及接受上级主管部门的检查，均</w:t>
      </w:r>
      <w:bookmarkStart w:id="174" w:name="_Toc422322556"/>
      <w:bookmarkStart w:id="175" w:name="_Toc419045125"/>
      <w:r>
        <w:rPr>
          <w:rFonts w:hint="eastAsia" w:ascii="仿宋_GB2312" w:hAnsi="仿宋_GB2312" w:eastAsia="仿宋_GB2312" w:cs="仿宋_GB2312"/>
          <w:color w:val="auto"/>
          <w:sz w:val="28"/>
          <w:szCs w:val="28"/>
        </w:rPr>
        <w:t>须取得对方同意。</w:t>
      </w:r>
    </w:p>
    <w:bookmarkEnd w:id="174"/>
    <w:bookmarkEnd w:id="175"/>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8.6本合同未尽事宜双方协商解决。</w:t>
      </w:r>
    </w:p>
    <w:p>
      <w:pPr>
        <w:pStyle w:val="4"/>
        <w:spacing w:line="440" w:lineRule="exact"/>
        <w:rPr>
          <w:sz w:val="24"/>
          <w:szCs w:val="24"/>
        </w:rPr>
      </w:pPr>
      <w:bookmarkStart w:id="176" w:name="_Toc101431666"/>
      <w:bookmarkStart w:id="177" w:name="_Toc419045127"/>
      <w:bookmarkStart w:id="178" w:name="_Toc422322558"/>
      <w:r>
        <w:rPr>
          <w:rFonts w:hint="eastAsia"/>
          <w:sz w:val="24"/>
          <w:szCs w:val="24"/>
        </w:rPr>
        <w:t>附录 委托人提供资料及咨询人提交成果文件一览表</w:t>
      </w:r>
      <w:bookmarkEnd w:id="176"/>
      <w:bookmarkEnd w:id="177"/>
      <w:bookmarkEnd w:id="178"/>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3509"/>
        <w:gridCol w:w="155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exact"/>
          <w:jc w:val="center"/>
        </w:trPr>
        <w:tc>
          <w:tcPr>
            <w:tcW w:w="1325" w:type="dxa"/>
            <w:vAlign w:val="center"/>
          </w:tcPr>
          <w:p>
            <w:pPr>
              <w:spacing w:line="440" w:lineRule="exact"/>
              <w:ind w:firstLine="0"/>
              <w:rPr>
                <w:bCs/>
              </w:rPr>
            </w:pPr>
            <w:r>
              <w:rPr>
                <w:rFonts w:hint="eastAsia"/>
                <w:bCs/>
              </w:rPr>
              <w:t>服务阶段</w:t>
            </w:r>
          </w:p>
        </w:tc>
        <w:tc>
          <w:tcPr>
            <w:tcW w:w="3509" w:type="dxa"/>
            <w:vAlign w:val="center"/>
          </w:tcPr>
          <w:p>
            <w:pPr>
              <w:spacing w:line="440" w:lineRule="exact"/>
              <w:jc w:val="center"/>
              <w:rPr>
                <w:bCs/>
              </w:rPr>
            </w:pPr>
            <w:r>
              <w:rPr>
                <w:rFonts w:hint="eastAsia"/>
                <w:bCs/>
              </w:rPr>
              <w:t>成果文件名称</w:t>
            </w:r>
          </w:p>
        </w:tc>
        <w:tc>
          <w:tcPr>
            <w:tcW w:w="1559" w:type="dxa"/>
            <w:vAlign w:val="center"/>
          </w:tcPr>
          <w:p>
            <w:pPr>
              <w:spacing w:line="440" w:lineRule="exact"/>
              <w:jc w:val="center"/>
              <w:rPr>
                <w:bCs/>
              </w:rPr>
            </w:pPr>
            <w:r>
              <w:rPr>
                <w:rFonts w:hint="eastAsia"/>
                <w:bCs/>
              </w:rPr>
              <w:t>份数</w:t>
            </w:r>
          </w:p>
        </w:tc>
        <w:tc>
          <w:tcPr>
            <w:tcW w:w="1449" w:type="dxa"/>
            <w:vAlign w:val="center"/>
          </w:tcPr>
          <w:p>
            <w:pPr>
              <w:spacing w:line="440" w:lineRule="exact"/>
              <w:jc w:val="center"/>
              <w:rPr>
                <w:bCs/>
              </w:rPr>
            </w:pPr>
            <w:r>
              <w:rPr>
                <w:rFonts w:hint="eastAsia"/>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restart"/>
            <w:vAlign w:val="center"/>
          </w:tcPr>
          <w:p>
            <w:pPr>
              <w:spacing w:line="440" w:lineRule="exact"/>
              <w:jc w:val="center"/>
              <w:rPr>
                <w:bCs/>
              </w:rPr>
            </w:pPr>
            <w:r>
              <w:rPr>
                <w:rFonts w:hint="eastAsia"/>
                <w:bCs/>
              </w:rPr>
              <w:t>委托人提供资料清单</w:t>
            </w:r>
          </w:p>
        </w:tc>
        <w:tc>
          <w:tcPr>
            <w:tcW w:w="3509" w:type="dxa"/>
            <w:vAlign w:val="center"/>
          </w:tcPr>
          <w:p>
            <w:pPr>
              <w:spacing w:line="440" w:lineRule="exact"/>
              <w:jc w:val="center"/>
              <w:rPr>
                <w:bCs/>
              </w:rPr>
            </w:pPr>
          </w:p>
        </w:tc>
        <w:tc>
          <w:tcPr>
            <w:tcW w:w="1559" w:type="dxa"/>
            <w:vAlign w:val="center"/>
          </w:tcPr>
          <w:p>
            <w:pPr>
              <w:spacing w:line="440" w:lineRule="exact"/>
              <w:jc w:val="center"/>
              <w:rPr>
                <w:bCs/>
              </w:rPr>
            </w:pPr>
          </w:p>
        </w:tc>
        <w:tc>
          <w:tcPr>
            <w:tcW w:w="1449" w:type="dxa"/>
            <w:vAlign w:val="center"/>
          </w:tcPr>
          <w:p>
            <w:pPr>
              <w:spacing w:line="440" w:lineRule="exact"/>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continue"/>
            <w:vAlign w:val="center"/>
          </w:tcPr>
          <w:p>
            <w:pPr>
              <w:spacing w:line="440" w:lineRule="exact"/>
              <w:jc w:val="center"/>
              <w:rPr>
                <w:bCs/>
              </w:rPr>
            </w:pPr>
          </w:p>
        </w:tc>
        <w:tc>
          <w:tcPr>
            <w:tcW w:w="3509" w:type="dxa"/>
            <w:vAlign w:val="center"/>
          </w:tcPr>
          <w:p>
            <w:pPr>
              <w:spacing w:line="440" w:lineRule="exact"/>
              <w:jc w:val="center"/>
              <w:rPr>
                <w:bCs/>
              </w:rPr>
            </w:pPr>
          </w:p>
        </w:tc>
        <w:tc>
          <w:tcPr>
            <w:tcW w:w="1559" w:type="dxa"/>
            <w:vAlign w:val="center"/>
          </w:tcPr>
          <w:p>
            <w:pPr>
              <w:spacing w:line="440" w:lineRule="exact"/>
              <w:jc w:val="center"/>
              <w:rPr>
                <w:bCs/>
              </w:rPr>
            </w:pPr>
          </w:p>
        </w:tc>
        <w:tc>
          <w:tcPr>
            <w:tcW w:w="1449" w:type="dxa"/>
            <w:vAlign w:val="center"/>
          </w:tcPr>
          <w:p>
            <w:pPr>
              <w:spacing w:line="440" w:lineRule="exact"/>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continue"/>
            <w:vAlign w:val="center"/>
          </w:tcPr>
          <w:p>
            <w:pPr>
              <w:spacing w:line="440" w:lineRule="exact"/>
              <w:jc w:val="center"/>
              <w:rPr>
                <w:bCs/>
              </w:rPr>
            </w:pPr>
          </w:p>
        </w:tc>
        <w:tc>
          <w:tcPr>
            <w:tcW w:w="3509" w:type="dxa"/>
            <w:vAlign w:val="center"/>
          </w:tcPr>
          <w:p>
            <w:pPr>
              <w:spacing w:line="440" w:lineRule="exact"/>
              <w:jc w:val="center"/>
              <w:rPr>
                <w:bCs/>
              </w:rPr>
            </w:pPr>
          </w:p>
        </w:tc>
        <w:tc>
          <w:tcPr>
            <w:tcW w:w="1559" w:type="dxa"/>
            <w:vAlign w:val="center"/>
          </w:tcPr>
          <w:p>
            <w:pPr>
              <w:spacing w:line="440" w:lineRule="exact"/>
              <w:jc w:val="center"/>
              <w:rPr>
                <w:bCs/>
              </w:rPr>
            </w:pPr>
          </w:p>
        </w:tc>
        <w:tc>
          <w:tcPr>
            <w:tcW w:w="1449" w:type="dxa"/>
            <w:vAlign w:val="center"/>
          </w:tcPr>
          <w:p>
            <w:pPr>
              <w:spacing w:line="440" w:lineRule="exact"/>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continue"/>
            <w:vAlign w:val="center"/>
          </w:tcPr>
          <w:p>
            <w:pPr>
              <w:spacing w:line="440" w:lineRule="exact"/>
              <w:jc w:val="center"/>
              <w:rPr>
                <w:bCs/>
              </w:rPr>
            </w:pPr>
          </w:p>
        </w:tc>
        <w:tc>
          <w:tcPr>
            <w:tcW w:w="3509" w:type="dxa"/>
            <w:vAlign w:val="center"/>
          </w:tcPr>
          <w:p>
            <w:pPr>
              <w:spacing w:line="440" w:lineRule="exact"/>
              <w:jc w:val="center"/>
              <w:rPr>
                <w:bCs/>
              </w:rPr>
            </w:pPr>
          </w:p>
        </w:tc>
        <w:tc>
          <w:tcPr>
            <w:tcW w:w="1559" w:type="dxa"/>
            <w:vAlign w:val="center"/>
          </w:tcPr>
          <w:p>
            <w:pPr>
              <w:spacing w:line="440" w:lineRule="exact"/>
              <w:jc w:val="center"/>
              <w:rPr>
                <w:bCs/>
              </w:rPr>
            </w:pPr>
          </w:p>
        </w:tc>
        <w:tc>
          <w:tcPr>
            <w:tcW w:w="1449" w:type="dxa"/>
            <w:vAlign w:val="center"/>
          </w:tcPr>
          <w:p>
            <w:pPr>
              <w:spacing w:line="440" w:lineRule="exact"/>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restart"/>
            <w:vAlign w:val="center"/>
          </w:tcPr>
          <w:p>
            <w:pPr>
              <w:pStyle w:val="17"/>
              <w:widowControl w:val="0"/>
              <w:spacing w:line="440" w:lineRule="exact"/>
              <w:jc w:val="center"/>
              <w:rPr>
                <w:bCs/>
              </w:rPr>
            </w:pPr>
            <w:r>
              <w:rPr>
                <w:rFonts w:hint="eastAsia"/>
                <w:bCs/>
              </w:rPr>
              <w:t>咨询人需要提交成果文件</w:t>
            </w:r>
          </w:p>
        </w:tc>
        <w:tc>
          <w:tcPr>
            <w:tcW w:w="3509" w:type="dxa"/>
            <w:vAlign w:val="center"/>
          </w:tcPr>
          <w:p>
            <w:pPr>
              <w:spacing w:line="440" w:lineRule="exact"/>
              <w:jc w:val="center"/>
              <w:rPr>
                <w:bCs/>
              </w:rPr>
            </w:pPr>
          </w:p>
        </w:tc>
        <w:tc>
          <w:tcPr>
            <w:tcW w:w="1559" w:type="dxa"/>
            <w:vAlign w:val="center"/>
          </w:tcPr>
          <w:p>
            <w:pPr>
              <w:spacing w:line="440" w:lineRule="exact"/>
              <w:jc w:val="center"/>
              <w:rPr>
                <w:bCs/>
              </w:rPr>
            </w:pPr>
          </w:p>
        </w:tc>
        <w:tc>
          <w:tcPr>
            <w:tcW w:w="1449" w:type="dxa"/>
            <w:vAlign w:val="center"/>
          </w:tcPr>
          <w:p>
            <w:pPr>
              <w:spacing w:line="440" w:lineRule="exact"/>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continue"/>
            <w:vAlign w:val="center"/>
          </w:tcPr>
          <w:p>
            <w:pPr>
              <w:spacing w:line="440" w:lineRule="exact"/>
              <w:jc w:val="center"/>
              <w:rPr>
                <w:bCs/>
              </w:rPr>
            </w:pPr>
          </w:p>
        </w:tc>
        <w:tc>
          <w:tcPr>
            <w:tcW w:w="3509" w:type="dxa"/>
            <w:vAlign w:val="center"/>
          </w:tcPr>
          <w:p>
            <w:pPr>
              <w:spacing w:line="440" w:lineRule="exact"/>
              <w:jc w:val="center"/>
              <w:rPr>
                <w:bCs/>
              </w:rPr>
            </w:pPr>
          </w:p>
        </w:tc>
        <w:tc>
          <w:tcPr>
            <w:tcW w:w="1559" w:type="dxa"/>
            <w:vAlign w:val="center"/>
          </w:tcPr>
          <w:p>
            <w:pPr>
              <w:spacing w:line="440" w:lineRule="exact"/>
              <w:jc w:val="center"/>
              <w:rPr>
                <w:bCs/>
              </w:rPr>
            </w:pPr>
          </w:p>
        </w:tc>
        <w:tc>
          <w:tcPr>
            <w:tcW w:w="1449" w:type="dxa"/>
            <w:vAlign w:val="center"/>
          </w:tcPr>
          <w:p>
            <w:pPr>
              <w:spacing w:line="440" w:lineRule="exact"/>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continue"/>
            <w:vAlign w:val="center"/>
          </w:tcPr>
          <w:p>
            <w:pPr>
              <w:spacing w:line="440" w:lineRule="exact"/>
              <w:jc w:val="center"/>
              <w:rPr>
                <w:bCs/>
              </w:rPr>
            </w:pPr>
          </w:p>
        </w:tc>
        <w:tc>
          <w:tcPr>
            <w:tcW w:w="3509" w:type="dxa"/>
            <w:vAlign w:val="center"/>
          </w:tcPr>
          <w:p>
            <w:pPr>
              <w:spacing w:line="440" w:lineRule="exact"/>
              <w:jc w:val="center"/>
              <w:rPr>
                <w:bCs/>
              </w:rPr>
            </w:pPr>
          </w:p>
        </w:tc>
        <w:tc>
          <w:tcPr>
            <w:tcW w:w="1559" w:type="dxa"/>
            <w:vAlign w:val="center"/>
          </w:tcPr>
          <w:p>
            <w:pPr>
              <w:spacing w:line="440" w:lineRule="exact"/>
              <w:jc w:val="center"/>
              <w:rPr>
                <w:bCs/>
              </w:rPr>
            </w:pPr>
          </w:p>
        </w:tc>
        <w:tc>
          <w:tcPr>
            <w:tcW w:w="1449" w:type="dxa"/>
            <w:vAlign w:val="center"/>
          </w:tcPr>
          <w:p>
            <w:pPr>
              <w:spacing w:line="440" w:lineRule="exact"/>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continue"/>
            <w:vAlign w:val="center"/>
          </w:tcPr>
          <w:p>
            <w:pPr>
              <w:pStyle w:val="17"/>
              <w:widowControl w:val="0"/>
              <w:spacing w:line="440" w:lineRule="exact"/>
              <w:jc w:val="center"/>
              <w:rPr>
                <w:bCs/>
              </w:rPr>
            </w:pPr>
          </w:p>
        </w:tc>
        <w:tc>
          <w:tcPr>
            <w:tcW w:w="3509" w:type="dxa"/>
            <w:vAlign w:val="center"/>
          </w:tcPr>
          <w:p>
            <w:pPr>
              <w:spacing w:line="440" w:lineRule="exact"/>
              <w:jc w:val="center"/>
              <w:rPr>
                <w:bCs/>
              </w:rPr>
            </w:pPr>
          </w:p>
        </w:tc>
        <w:tc>
          <w:tcPr>
            <w:tcW w:w="1559" w:type="dxa"/>
            <w:vAlign w:val="center"/>
          </w:tcPr>
          <w:p>
            <w:pPr>
              <w:spacing w:line="440" w:lineRule="exact"/>
              <w:jc w:val="center"/>
              <w:rPr>
                <w:bCs/>
              </w:rPr>
            </w:pPr>
          </w:p>
        </w:tc>
        <w:tc>
          <w:tcPr>
            <w:tcW w:w="1449" w:type="dxa"/>
            <w:vAlign w:val="center"/>
          </w:tcPr>
          <w:p>
            <w:pPr>
              <w:spacing w:line="440" w:lineRule="exact"/>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continue"/>
            <w:vAlign w:val="center"/>
          </w:tcPr>
          <w:p>
            <w:pPr>
              <w:spacing w:line="440" w:lineRule="exact"/>
              <w:jc w:val="center"/>
              <w:rPr>
                <w:bCs/>
              </w:rPr>
            </w:pPr>
          </w:p>
        </w:tc>
        <w:tc>
          <w:tcPr>
            <w:tcW w:w="3509" w:type="dxa"/>
            <w:vAlign w:val="center"/>
          </w:tcPr>
          <w:p>
            <w:pPr>
              <w:spacing w:line="440" w:lineRule="exact"/>
              <w:jc w:val="center"/>
              <w:rPr>
                <w:bCs/>
              </w:rPr>
            </w:pPr>
          </w:p>
        </w:tc>
        <w:tc>
          <w:tcPr>
            <w:tcW w:w="1559" w:type="dxa"/>
            <w:vAlign w:val="center"/>
          </w:tcPr>
          <w:p>
            <w:pPr>
              <w:spacing w:line="440" w:lineRule="exact"/>
              <w:jc w:val="center"/>
              <w:rPr>
                <w:bCs/>
              </w:rPr>
            </w:pPr>
          </w:p>
        </w:tc>
        <w:tc>
          <w:tcPr>
            <w:tcW w:w="1449" w:type="dxa"/>
            <w:vAlign w:val="center"/>
          </w:tcPr>
          <w:p>
            <w:pPr>
              <w:spacing w:line="440" w:lineRule="exact"/>
              <w:jc w:val="center"/>
              <w:rPr>
                <w:bCs/>
              </w:rPr>
            </w:pPr>
          </w:p>
        </w:tc>
      </w:tr>
    </w:tbl>
    <w:p>
      <w:pPr>
        <w:pStyle w:val="4"/>
        <w:spacing w:line="440" w:lineRule="exact"/>
        <w:ind w:firstLine="482" w:firstLineChars="200"/>
        <w:rPr>
          <w:b w:val="0"/>
          <w:sz w:val="24"/>
          <w:szCs w:val="24"/>
        </w:rPr>
      </w:pPr>
      <w:bookmarkStart w:id="179" w:name="_Toc101431667"/>
      <w:r>
        <w:rPr>
          <w:rFonts w:hint="eastAsia"/>
          <w:sz w:val="24"/>
          <w:szCs w:val="24"/>
        </w:rPr>
        <w:t>注</w:t>
      </w:r>
      <w:r>
        <w:rPr>
          <w:sz w:val="24"/>
          <w:szCs w:val="24"/>
        </w:rPr>
        <w:t>：</w:t>
      </w:r>
      <w:r>
        <w:rPr>
          <w:rFonts w:hint="eastAsia"/>
          <w:b w:val="0"/>
          <w:sz w:val="24"/>
          <w:szCs w:val="24"/>
        </w:rPr>
        <w:t xml:space="preserve"> </w:t>
      </w:r>
      <w:r>
        <w:rPr>
          <w:b w:val="0"/>
          <w:sz w:val="24"/>
          <w:szCs w:val="24"/>
        </w:rPr>
        <w:t>1</w:t>
      </w:r>
      <w:r>
        <w:rPr>
          <w:rFonts w:hint="eastAsia"/>
          <w:b w:val="0"/>
          <w:sz w:val="24"/>
          <w:szCs w:val="24"/>
        </w:rPr>
        <w:t>、委托人及咨询人需要提交其他资料</w:t>
      </w:r>
      <w:r>
        <w:rPr>
          <w:b w:val="0"/>
          <w:sz w:val="24"/>
          <w:szCs w:val="24"/>
        </w:rPr>
        <w:t>的可在</w:t>
      </w:r>
      <w:r>
        <w:rPr>
          <w:rFonts w:hint="eastAsia"/>
          <w:b w:val="0"/>
          <w:sz w:val="24"/>
          <w:szCs w:val="24"/>
        </w:rPr>
        <w:t>空白项</w:t>
      </w:r>
      <w:r>
        <w:rPr>
          <w:b w:val="0"/>
          <w:sz w:val="24"/>
          <w:szCs w:val="24"/>
        </w:rPr>
        <w:t>中列明。</w:t>
      </w:r>
      <w:bookmarkEnd w:id="179"/>
    </w:p>
    <w:p>
      <w:pPr>
        <w:spacing w:line="440" w:lineRule="exact"/>
        <w:rPr>
          <w:rFonts w:ascii="仿宋_GB2312" w:hAnsi="仿宋_GB2312" w:eastAsia="仿宋_GB2312" w:cs="仿宋_GB2312"/>
          <w:color w:val="auto"/>
          <w:sz w:val="28"/>
          <w:szCs w:val="28"/>
        </w:rPr>
      </w:pPr>
      <w:r>
        <w:rPr>
          <w:rFonts w:hint="eastAsia"/>
        </w:rPr>
        <w:t>（以下无正文）</w:t>
      </w:r>
      <w:bookmarkEnd w:id="29"/>
    </w:p>
    <w:sectPr>
      <w:pgSz w:w="11906" w:h="16838"/>
      <w:pgMar w:top="1440" w:right="1803" w:bottom="1440" w:left="1803" w:header="851" w:footer="992" w:gutter="0"/>
      <w:cols w:space="0" w:num="1"/>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B7E867-0440-432A-A086-1748E79CA9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53518D3-9A81-4CD4-899D-87F5B482601D}"/>
  </w:font>
  <w:font w:name="仿宋">
    <w:panose1 w:val="02010609060101010101"/>
    <w:charset w:val="86"/>
    <w:family w:val="modern"/>
    <w:pitch w:val="default"/>
    <w:sig w:usb0="800002BF" w:usb1="38CF7CFA" w:usb2="00000016" w:usb3="00000000" w:csb0="00040001" w:csb1="00000000"/>
    <w:embedRegular r:id="rId3" w:fontKey="{1C6B2269-7122-4157-9A1C-9C6DFF74A7B8}"/>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embedRegular r:id="rId4" w:fontKey="{E89A7809-FA7E-4D70-AAD7-626E19923C31}"/>
  </w:font>
  <w:font w:name="方正小标宋简体">
    <w:panose1 w:val="02000000000000000000"/>
    <w:charset w:val="86"/>
    <w:family w:val="auto"/>
    <w:pitch w:val="default"/>
    <w:sig w:usb0="00000001" w:usb1="08000000" w:usb2="00000000" w:usb3="00000000" w:csb0="00040000" w:csb1="00000000"/>
    <w:embedRegular r:id="rId5" w:fontKey="{60B0BC38-F3A2-45A5-89A1-6346D935E1B9}"/>
  </w:font>
  <w:font w:name="长城小标宋体">
    <w:altName w:val="宋体"/>
    <w:panose1 w:val="00000000000000000000"/>
    <w:charset w:val="00"/>
    <w:family w:val="auto"/>
    <w:pitch w:val="default"/>
    <w:sig w:usb0="00000000" w:usb1="00000000" w:usb2="00000000" w:usb3="00000000" w:csb0="00000000" w:csb1="00000000"/>
    <w:embedRegular r:id="rId6" w:fontKey="{4B738FEF-396E-4710-BBD5-2CA0F86DC936}"/>
  </w:font>
  <w:font w:name="楷体">
    <w:panose1 w:val="02010609060101010101"/>
    <w:charset w:val="86"/>
    <w:family w:val="modern"/>
    <w:pitch w:val="default"/>
    <w:sig w:usb0="800002BF" w:usb1="38CF7CFA" w:usb2="00000016" w:usb3="00000000" w:csb0="00040001" w:csb1="00000000"/>
    <w:embedRegular r:id="rId7" w:fontKey="{976D2E7E-6B51-4F3E-9604-EA5A510EFFA8}"/>
  </w:font>
  <w:font w:name="仿宋_GB2312">
    <w:panose1 w:val="02010609030101010101"/>
    <w:charset w:val="86"/>
    <w:family w:val="modern"/>
    <w:pitch w:val="default"/>
    <w:sig w:usb0="00000001" w:usb1="080E0000" w:usb2="00000000" w:usb3="00000000" w:csb0="00040000" w:csb1="00000000"/>
    <w:embedRegular r:id="rId8" w:fontKey="{B4DC853E-1731-4B9B-BCF7-F8674CBD91DA}"/>
  </w:font>
  <w:font w:name="华文中宋">
    <w:panose1 w:val="02010600040101010101"/>
    <w:charset w:val="86"/>
    <w:family w:val="auto"/>
    <w:pitch w:val="default"/>
    <w:sig w:usb0="00000287" w:usb1="080F0000" w:usb2="00000000" w:usb3="00000000" w:csb0="0004009F" w:csb1="DFD70000"/>
    <w:embedRegular r:id="rId9" w:fontKey="{85722177-76FC-4AF7-936B-8CE8FF54C4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ind w:right="360"/>
                          </w:pPr>
                        </w:p>
                      </w:txbxContent>
                    </wps:txbx>
                    <wps:bodyPr wrap="none" lIns="0" tIns="0" rIns="0" bIns="0" upright="1">
                      <a:spAutoFit/>
                    </wps:bodyPr>
                  </wps:wsp>
                </a:graphicData>
              </a:graphic>
            </wp:anchor>
          </w:drawing>
        </mc:Choice>
        <mc:Fallback>
          <w:pict>
            <v:shape id="409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qZM6rsBAACgAwAADgAAAAAAAAABACAAAAAeAQAAZHJzL2Uyb0RvYy54bWxQSwUGAAAAAAYA&#10;BgBZAQAASwUAAAAA&#10;">
              <v:fill on="f" focussize="0,0"/>
              <v:stroke on="f"/>
              <v:imagedata o:title=""/>
              <o:lock v:ext="edit" aspectratio="f"/>
              <v:textbox inset="0mm,0mm,0mm,0mm" style="mso-fit-shape-to-text:t;">
                <w:txbxContent>
                  <w:p>
                    <w:pPr>
                      <w:pStyle w:val="12"/>
                      <w:ind w:right="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4</w:t>
    </w:r>
    <w:r>
      <w:rPr>
        <w:lang w:val="zh-CN"/>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eastAsia="仿宋_GB2312"/>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spacing w:line="240" w:lineRule="auto"/>
      <w:ind w:firstLine="2880" w:firstLineChars="160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AEE1A"/>
    <w:multiLevelType w:val="singleLevel"/>
    <w:tmpl w:val="00EAEE1A"/>
    <w:lvl w:ilvl="0" w:tentative="0">
      <w:start w:val="2"/>
      <w:numFmt w:val="chineseCounting"/>
      <w:suff w:val="nothing"/>
      <w:lvlText w:val="%1、"/>
      <w:lvlJc w:val="left"/>
      <w:rPr>
        <w:rFonts w:hint="eastAsia"/>
      </w:rPr>
    </w:lvl>
  </w:abstractNum>
  <w:abstractNum w:abstractNumId="1">
    <w:nsid w:val="30DCF9CC"/>
    <w:multiLevelType w:val="singleLevel"/>
    <w:tmpl w:val="30DCF9CC"/>
    <w:lvl w:ilvl="0" w:tentative="0">
      <w:start w:val="1"/>
      <w:numFmt w:val="decimal"/>
      <w:lvlText w:val="%1."/>
      <w:lvlJc w:val="left"/>
      <w:pPr>
        <w:tabs>
          <w:tab w:val="left" w:pos="312"/>
        </w:tabs>
      </w:p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413E1FF1"/>
    <w:multiLevelType w:val="singleLevel"/>
    <w:tmpl w:val="413E1FF1"/>
    <w:lvl w:ilvl="0" w:tentative="0">
      <w:start w:val="3"/>
      <w:numFmt w:val="chineseCounting"/>
      <w:suff w:val="nothing"/>
      <w:lvlText w:val="（%1）"/>
      <w:lvlJc w:val="left"/>
      <w:rPr>
        <w:rFonts w:hint="eastAsia"/>
      </w:rPr>
    </w:lvl>
  </w:abstractNum>
  <w:abstractNum w:abstractNumId="4">
    <w:nsid w:val="524B43CC"/>
    <w:multiLevelType w:val="multilevel"/>
    <w:tmpl w:val="524B43CC"/>
    <w:lvl w:ilvl="0" w:tentative="0">
      <w:start w:val="1"/>
      <w:numFmt w:val="decimal"/>
      <w:lvlText w:val="%1."/>
      <w:lvlJc w:val="left"/>
      <w:pPr>
        <w:ind w:left="1412" w:hanging="852"/>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78691E9E"/>
    <w:multiLevelType w:val="multilevel"/>
    <w:tmpl w:val="78691E9E"/>
    <w:lvl w:ilvl="0" w:tentative="0">
      <w:start w:val="1"/>
      <w:numFmt w:val="chineseCountingThousand"/>
      <w:suff w:val="space"/>
      <w:lvlText w:val="%1. "/>
      <w:lvlJc w:val="left"/>
      <w:pPr>
        <w:ind w:left="907" w:hanging="907"/>
      </w:pPr>
      <w:rPr>
        <w:rFonts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6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5C4D"/>
    <w:rsid w:val="00060304"/>
    <w:rsid w:val="00073DDA"/>
    <w:rsid w:val="000C3FDC"/>
    <w:rsid w:val="000E6B2A"/>
    <w:rsid w:val="0013205A"/>
    <w:rsid w:val="00151EB2"/>
    <w:rsid w:val="00156647"/>
    <w:rsid w:val="001611D1"/>
    <w:rsid w:val="00172A27"/>
    <w:rsid w:val="00190B96"/>
    <w:rsid w:val="001C117A"/>
    <w:rsid w:val="00220765"/>
    <w:rsid w:val="00247F3D"/>
    <w:rsid w:val="00247FEC"/>
    <w:rsid w:val="00256BE2"/>
    <w:rsid w:val="00264304"/>
    <w:rsid w:val="00290773"/>
    <w:rsid w:val="002D7BF6"/>
    <w:rsid w:val="002E2DBA"/>
    <w:rsid w:val="00351EEB"/>
    <w:rsid w:val="00381AC4"/>
    <w:rsid w:val="003C2B40"/>
    <w:rsid w:val="003E0A82"/>
    <w:rsid w:val="00402F1E"/>
    <w:rsid w:val="00430F90"/>
    <w:rsid w:val="004517BE"/>
    <w:rsid w:val="00475B06"/>
    <w:rsid w:val="004845A0"/>
    <w:rsid w:val="004945A8"/>
    <w:rsid w:val="004A2E65"/>
    <w:rsid w:val="004B2654"/>
    <w:rsid w:val="004B6350"/>
    <w:rsid w:val="004E0644"/>
    <w:rsid w:val="004E1FA6"/>
    <w:rsid w:val="004E2490"/>
    <w:rsid w:val="00513BE7"/>
    <w:rsid w:val="0051647A"/>
    <w:rsid w:val="005253B5"/>
    <w:rsid w:val="00546D15"/>
    <w:rsid w:val="005A36A9"/>
    <w:rsid w:val="005D0D06"/>
    <w:rsid w:val="006004C0"/>
    <w:rsid w:val="00621CED"/>
    <w:rsid w:val="006856ED"/>
    <w:rsid w:val="006B4FFF"/>
    <w:rsid w:val="00724276"/>
    <w:rsid w:val="00771BC2"/>
    <w:rsid w:val="007C5ABE"/>
    <w:rsid w:val="007F194B"/>
    <w:rsid w:val="008221D1"/>
    <w:rsid w:val="008578C2"/>
    <w:rsid w:val="00873E82"/>
    <w:rsid w:val="00886E78"/>
    <w:rsid w:val="008C49E8"/>
    <w:rsid w:val="008C5652"/>
    <w:rsid w:val="008C7D8C"/>
    <w:rsid w:val="008D3410"/>
    <w:rsid w:val="008E2F76"/>
    <w:rsid w:val="009169F7"/>
    <w:rsid w:val="00940FF8"/>
    <w:rsid w:val="00944CE3"/>
    <w:rsid w:val="009A7A5E"/>
    <w:rsid w:val="009D5299"/>
    <w:rsid w:val="00A450C8"/>
    <w:rsid w:val="00AC389D"/>
    <w:rsid w:val="00AF11DE"/>
    <w:rsid w:val="00AF46CB"/>
    <w:rsid w:val="00B420DB"/>
    <w:rsid w:val="00B438D1"/>
    <w:rsid w:val="00B71109"/>
    <w:rsid w:val="00B93EAD"/>
    <w:rsid w:val="00C00EE5"/>
    <w:rsid w:val="00C02603"/>
    <w:rsid w:val="00C22F99"/>
    <w:rsid w:val="00C23E67"/>
    <w:rsid w:val="00C37F0F"/>
    <w:rsid w:val="00CD38C7"/>
    <w:rsid w:val="00CE2393"/>
    <w:rsid w:val="00D40661"/>
    <w:rsid w:val="00DA1A6D"/>
    <w:rsid w:val="00DC172F"/>
    <w:rsid w:val="00DE71EC"/>
    <w:rsid w:val="00DE7268"/>
    <w:rsid w:val="00E06A7A"/>
    <w:rsid w:val="00E15880"/>
    <w:rsid w:val="00E34446"/>
    <w:rsid w:val="00E559B8"/>
    <w:rsid w:val="00E66B5E"/>
    <w:rsid w:val="00E8670F"/>
    <w:rsid w:val="00EA0F32"/>
    <w:rsid w:val="00EE18D0"/>
    <w:rsid w:val="00EE7F54"/>
    <w:rsid w:val="00F24992"/>
    <w:rsid w:val="00F24AF8"/>
    <w:rsid w:val="00F3167D"/>
    <w:rsid w:val="00F4346B"/>
    <w:rsid w:val="00F72539"/>
    <w:rsid w:val="00F906E1"/>
    <w:rsid w:val="00FA597C"/>
    <w:rsid w:val="00FE6E00"/>
    <w:rsid w:val="0113134A"/>
    <w:rsid w:val="014878EA"/>
    <w:rsid w:val="015A3681"/>
    <w:rsid w:val="01786F95"/>
    <w:rsid w:val="017F3C86"/>
    <w:rsid w:val="01822A0A"/>
    <w:rsid w:val="018748A7"/>
    <w:rsid w:val="019B0C40"/>
    <w:rsid w:val="01BF1B27"/>
    <w:rsid w:val="01C11638"/>
    <w:rsid w:val="01D9132C"/>
    <w:rsid w:val="02075C5E"/>
    <w:rsid w:val="02220604"/>
    <w:rsid w:val="025C06B5"/>
    <w:rsid w:val="02652D6A"/>
    <w:rsid w:val="02A15115"/>
    <w:rsid w:val="02D30E0F"/>
    <w:rsid w:val="03013E95"/>
    <w:rsid w:val="030622D8"/>
    <w:rsid w:val="036E7C5D"/>
    <w:rsid w:val="038D5B37"/>
    <w:rsid w:val="03920F36"/>
    <w:rsid w:val="03A82A72"/>
    <w:rsid w:val="03C133F7"/>
    <w:rsid w:val="03C51372"/>
    <w:rsid w:val="03D04DA6"/>
    <w:rsid w:val="03D34C80"/>
    <w:rsid w:val="04AD49F3"/>
    <w:rsid w:val="04F334C3"/>
    <w:rsid w:val="052D1304"/>
    <w:rsid w:val="05994282"/>
    <w:rsid w:val="05B65D99"/>
    <w:rsid w:val="05CD4E65"/>
    <w:rsid w:val="05F854B0"/>
    <w:rsid w:val="064D5CC7"/>
    <w:rsid w:val="065831C8"/>
    <w:rsid w:val="0677282E"/>
    <w:rsid w:val="069B4643"/>
    <w:rsid w:val="06B426B3"/>
    <w:rsid w:val="072741FA"/>
    <w:rsid w:val="07432E43"/>
    <w:rsid w:val="07641A97"/>
    <w:rsid w:val="07A430D2"/>
    <w:rsid w:val="07C81BBD"/>
    <w:rsid w:val="07F01DFE"/>
    <w:rsid w:val="07F515FF"/>
    <w:rsid w:val="081B6483"/>
    <w:rsid w:val="08AF772E"/>
    <w:rsid w:val="09513458"/>
    <w:rsid w:val="096763FD"/>
    <w:rsid w:val="09ED1DE8"/>
    <w:rsid w:val="09FF1E0C"/>
    <w:rsid w:val="0A5B4A4F"/>
    <w:rsid w:val="0ADB73D4"/>
    <w:rsid w:val="0B460300"/>
    <w:rsid w:val="0B5A2521"/>
    <w:rsid w:val="0B994118"/>
    <w:rsid w:val="0BAC5C4F"/>
    <w:rsid w:val="0BB11D98"/>
    <w:rsid w:val="0BC92E8F"/>
    <w:rsid w:val="0BD2616F"/>
    <w:rsid w:val="0BE87646"/>
    <w:rsid w:val="0C5228D6"/>
    <w:rsid w:val="0CFB7A22"/>
    <w:rsid w:val="0CFE3C54"/>
    <w:rsid w:val="0D1E6538"/>
    <w:rsid w:val="0D5F6239"/>
    <w:rsid w:val="0D8D58A5"/>
    <w:rsid w:val="0DD3168B"/>
    <w:rsid w:val="0DE1721D"/>
    <w:rsid w:val="0DF56898"/>
    <w:rsid w:val="0E737630"/>
    <w:rsid w:val="0E914A8A"/>
    <w:rsid w:val="0EE84C6D"/>
    <w:rsid w:val="0FB00067"/>
    <w:rsid w:val="0FD70D8B"/>
    <w:rsid w:val="0FDE08B7"/>
    <w:rsid w:val="10204C74"/>
    <w:rsid w:val="106D047B"/>
    <w:rsid w:val="107C200F"/>
    <w:rsid w:val="10A31493"/>
    <w:rsid w:val="10B4107A"/>
    <w:rsid w:val="10CA47A8"/>
    <w:rsid w:val="10D327A7"/>
    <w:rsid w:val="111268CE"/>
    <w:rsid w:val="113E1C46"/>
    <w:rsid w:val="113E2F49"/>
    <w:rsid w:val="11C27F47"/>
    <w:rsid w:val="11CE448C"/>
    <w:rsid w:val="1203031E"/>
    <w:rsid w:val="121B45FC"/>
    <w:rsid w:val="12464EE2"/>
    <w:rsid w:val="125137DB"/>
    <w:rsid w:val="126F4F48"/>
    <w:rsid w:val="12810B7F"/>
    <w:rsid w:val="129D35C0"/>
    <w:rsid w:val="12AA4C66"/>
    <w:rsid w:val="131F0C15"/>
    <w:rsid w:val="13264FB4"/>
    <w:rsid w:val="13443936"/>
    <w:rsid w:val="136031D0"/>
    <w:rsid w:val="138C4637"/>
    <w:rsid w:val="14065AF1"/>
    <w:rsid w:val="142C1F06"/>
    <w:rsid w:val="14370130"/>
    <w:rsid w:val="143C6C41"/>
    <w:rsid w:val="143E3104"/>
    <w:rsid w:val="14762A87"/>
    <w:rsid w:val="147D627E"/>
    <w:rsid w:val="14D86307"/>
    <w:rsid w:val="14EC3331"/>
    <w:rsid w:val="14FD66C1"/>
    <w:rsid w:val="15074FF9"/>
    <w:rsid w:val="150B47C4"/>
    <w:rsid w:val="152930C8"/>
    <w:rsid w:val="15294794"/>
    <w:rsid w:val="153614EF"/>
    <w:rsid w:val="155C588F"/>
    <w:rsid w:val="156C6787"/>
    <w:rsid w:val="1578516E"/>
    <w:rsid w:val="15920901"/>
    <w:rsid w:val="15AE7B46"/>
    <w:rsid w:val="15DE02E6"/>
    <w:rsid w:val="15F4633E"/>
    <w:rsid w:val="16081713"/>
    <w:rsid w:val="160F1065"/>
    <w:rsid w:val="16552941"/>
    <w:rsid w:val="16874373"/>
    <w:rsid w:val="16A005C6"/>
    <w:rsid w:val="16CE7021"/>
    <w:rsid w:val="16D81A8D"/>
    <w:rsid w:val="17424CEC"/>
    <w:rsid w:val="17426FEA"/>
    <w:rsid w:val="17464D2B"/>
    <w:rsid w:val="17675392"/>
    <w:rsid w:val="176A688E"/>
    <w:rsid w:val="17812DC0"/>
    <w:rsid w:val="17C237DB"/>
    <w:rsid w:val="18044E22"/>
    <w:rsid w:val="180C4445"/>
    <w:rsid w:val="18207FF7"/>
    <w:rsid w:val="182E0430"/>
    <w:rsid w:val="18416561"/>
    <w:rsid w:val="18421B4A"/>
    <w:rsid w:val="18436382"/>
    <w:rsid w:val="18707FD0"/>
    <w:rsid w:val="18755604"/>
    <w:rsid w:val="188C18B2"/>
    <w:rsid w:val="188D1E68"/>
    <w:rsid w:val="189A0B59"/>
    <w:rsid w:val="191A5ACE"/>
    <w:rsid w:val="19357227"/>
    <w:rsid w:val="1A050AEE"/>
    <w:rsid w:val="1A1577A1"/>
    <w:rsid w:val="1A1C1A04"/>
    <w:rsid w:val="1A5968B2"/>
    <w:rsid w:val="1A7020EC"/>
    <w:rsid w:val="1A9C3458"/>
    <w:rsid w:val="1AA8606F"/>
    <w:rsid w:val="1ABF3A50"/>
    <w:rsid w:val="1B177392"/>
    <w:rsid w:val="1B1E02AF"/>
    <w:rsid w:val="1B1E299F"/>
    <w:rsid w:val="1B3C35C1"/>
    <w:rsid w:val="1B9529FC"/>
    <w:rsid w:val="1B9C6F47"/>
    <w:rsid w:val="1BAE4FDE"/>
    <w:rsid w:val="1BB516F5"/>
    <w:rsid w:val="1BEA35F0"/>
    <w:rsid w:val="1C220CAD"/>
    <w:rsid w:val="1C5D1BB0"/>
    <w:rsid w:val="1C6E0A2B"/>
    <w:rsid w:val="1C781A2E"/>
    <w:rsid w:val="1C943711"/>
    <w:rsid w:val="1D423205"/>
    <w:rsid w:val="1D4E2431"/>
    <w:rsid w:val="1D6B2BB8"/>
    <w:rsid w:val="1D862245"/>
    <w:rsid w:val="1D8B4E9B"/>
    <w:rsid w:val="1DA307CE"/>
    <w:rsid w:val="1DF4374E"/>
    <w:rsid w:val="1E9F0AF6"/>
    <w:rsid w:val="1ED550FA"/>
    <w:rsid w:val="1F096EAB"/>
    <w:rsid w:val="1F515D05"/>
    <w:rsid w:val="1F592B0C"/>
    <w:rsid w:val="1F6275AA"/>
    <w:rsid w:val="1F693126"/>
    <w:rsid w:val="1FA41167"/>
    <w:rsid w:val="20044634"/>
    <w:rsid w:val="20512284"/>
    <w:rsid w:val="20826DDC"/>
    <w:rsid w:val="21000B6A"/>
    <w:rsid w:val="210C7521"/>
    <w:rsid w:val="213364EE"/>
    <w:rsid w:val="21582D02"/>
    <w:rsid w:val="2163037A"/>
    <w:rsid w:val="217E721A"/>
    <w:rsid w:val="219E3979"/>
    <w:rsid w:val="21BB6282"/>
    <w:rsid w:val="21C730B5"/>
    <w:rsid w:val="22425CB5"/>
    <w:rsid w:val="2245147B"/>
    <w:rsid w:val="22550784"/>
    <w:rsid w:val="226F5475"/>
    <w:rsid w:val="227D4819"/>
    <w:rsid w:val="22A10EA4"/>
    <w:rsid w:val="22A47EDD"/>
    <w:rsid w:val="22FD67D9"/>
    <w:rsid w:val="233D2CF2"/>
    <w:rsid w:val="238E489E"/>
    <w:rsid w:val="23AF2EC4"/>
    <w:rsid w:val="23E40E1E"/>
    <w:rsid w:val="23EF7E11"/>
    <w:rsid w:val="24234D42"/>
    <w:rsid w:val="24397C37"/>
    <w:rsid w:val="247B78A9"/>
    <w:rsid w:val="24972D61"/>
    <w:rsid w:val="24DE4890"/>
    <w:rsid w:val="24E33266"/>
    <w:rsid w:val="252673B3"/>
    <w:rsid w:val="25517796"/>
    <w:rsid w:val="25760635"/>
    <w:rsid w:val="257D0261"/>
    <w:rsid w:val="25F103DC"/>
    <w:rsid w:val="2608120C"/>
    <w:rsid w:val="26230181"/>
    <w:rsid w:val="264372E7"/>
    <w:rsid w:val="265030AB"/>
    <w:rsid w:val="267F771A"/>
    <w:rsid w:val="2683194F"/>
    <w:rsid w:val="26FF459A"/>
    <w:rsid w:val="273877A6"/>
    <w:rsid w:val="277F5218"/>
    <w:rsid w:val="27972869"/>
    <w:rsid w:val="279C1252"/>
    <w:rsid w:val="27E45F82"/>
    <w:rsid w:val="27ED049B"/>
    <w:rsid w:val="28113347"/>
    <w:rsid w:val="281D09C6"/>
    <w:rsid w:val="281E4DAD"/>
    <w:rsid w:val="283476F9"/>
    <w:rsid w:val="2840111D"/>
    <w:rsid w:val="284848CF"/>
    <w:rsid w:val="284C1A59"/>
    <w:rsid w:val="289A0B97"/>
    <w:rsid w:val="28B6110D"/>
    <w:rsid w:val="28F0563F"/>
    <w:rsid w:val="293B7D70"/>
    <w:rsid w:val="29597230"/>
    <w:rsid w:val="29963A8B"/>
    <w:rsid w:val="29C00B44"/>
    <w:rsid w:val="29DA55B5"/>
    <w:rsid w:val="29F85B23"/>
    <w:rsid w:val="2AC66B17"/>
    <w:rsid w:val="2B816A72"/>
    <w:rsid w:val="2B8C27E2"/>
    <w:rsid w:val="2B932458"/>
    <w:rsid w:val="2B946D9A"/>
    <w:rsid w:val="2BA22D9E"/>
    <w:rsid w:val="2BD612C4"/>
    <w:rsid w:val="2BEE6E66"/>
    <w:rsid w:val="2C0A05D8"/>
    <w:rsid w:val="2C3456A7"/>
    <w:rsid w:val="2C456C1B"/>
    <w:rsid w:val="2CA60DF2"/>
    <w:rsid w:val="2CC1157E"/>
    <w:rsid w:val="2CC20E36"/>
    <w:rsid w:val="2CCB0003"/>
    <w:rsid w:val="2D1B085D"/>
    <w:rsid w:val="2D1C0D99"/>
    <w:rsid w:val="2D7034F0"/>
    <w:rsid w:val="2D8A4FFE"/>
    <w:rsid w:val="2D9F6EF8"/>
    <w:rsid w:val="2E03777C"/>
    <w:rsid w:val="2E3F3673"/>
    <w:rsid w:val="2E5F2AB4"/>
    <w:rsid w:val="2E784919"/>
    <w:rsid w:val="2EA66B7A"/>
    <w:rsid w:val="2ECD351D"/>
    <w:rsid w:val="2F012EA2"/>
    <w:rsid w:val="2F3C35C1"/>
    <w:rsid w:val="2F573C76"/>
    <w:rsid w:val="2F575EFC"/>
    <w:rsid w:val="2F671243"/>
    <w:rsid w:val="300734A2"/>
    <w:rsid w:val="303D6CD2"/>
    <w:rsid w:val="30891CE5"/>
    <w:rsid w:val="31013325"/>
    <w:rsid w:val="311A34FF"/>
    <w:rsid w:val="31214E8B"/>
    <w:rsid w:val="31496C6E"/>
    <w:rsid w:val="314B5DD1"/>
    <w:rsid w:val="31661485"/>
    <w:rsid w:val="318269C0"/>
    <w:rsid w:val="318948DE"/>
    <w:rsid w:val="318C09D7"/>
    <w:rsid w:val="319E1BA3"/>
    <w:rsid w:val="32072369"/>
    <w:rsid w:val="32483728"/>
    <w:rsid w:val="327046D2"/>
    <w:rsid w:val="32716B69"/>
    <w:rsid w:val="32987552"/>
    <w:rsid w:val="329A6E6D"/>
    <w:rsid w:val="32B807FF"/>
    <w:rsid w:val="32DD2CEC"/>
    <w:rsid w:val="32E21EFE"/>
    <w:rsid w:val="32F21C1A"/>
    <w:rsid w:val="32F25D30"/>
    <w:rsid w:val="330003FD"/>
    <w:rsid w:val="33091129"/>
    <w:rsid w:val="332420C3"/>
    <w:rsid w:val="333565FE"/>
    <w:rsid w:val="334101C8"/>
    <w:rsid w:val="3395704B"/>
    <w:rsid w:val="33974CED"/>
    <w:rsid w:val="33D90246"/>
    <w:rsid w:val="33FF6F0E"/>
    <w:rsid w:val="342E5AE8"/>
    <w:rsid w:val="34427281"/>
    <w:rsid w:val="347A6956"/>
    <w:rsid w:val="34A12D40"/>
    <w:rsid w:val="34E14C6E"/>
    <w:rsid w:val="352D2403"/>
    <w:rsid w:val="35731C19"/>
    <w:rsid w:val="35784613"/>
    <w:rsid w:val="359F35C8"/>
    <w:rsid w:val="35B11EED"/>
    <w:rsid w:val="35B61F13"/>
    <w:rsid w:val="35ED143B"/>
    <w:rsid w:val="360103B6"/>
    <w:rsid w:val="3622136A"/>
    <w:rsid w:val="36260715"/>
    <w:rsid w:val="36891839"/>
    <w:rsid w:val="36AD0B86"/>
    <w:rsid w:val="36C377A0"/>
    <w:rsid w:val="36E44BB8"/>
    <w:rsid w:val="36E4677F"/>
    <w:rsid w:val="36E55525"/>
    <w:rsid w:val="37104042"/>
    <w:rsid w:val="374762B5"/>
    <w:rsid w:val="374855EC"/>
    <w:rsid w:val="37551275"/>
    <w:rsid w:val="37595FC3"/>
    <w:rsid w:val="378F5F2C"/>
    <w:rsid w:val="37A57C43"/>
    <w:rsid w:val="37D75E5F"/>
    <w:rsid w:val="38102589"/>
    <w:rsid w:val="38563DEE"/>
    <w:rsid w:val="38600585"/>
    <w:rsid w:val="386A65E6"/>
    <w:rsid w:val="386F61FF"/>
    <w:rsid w:val="38BD76FF"/>
    <w:rsid w:val="38BE4401"/>
    <w:rsid w:val="38BF3443"/>
    <w:rsid w:val="38FC1339"/>
    <w:rsid w:val="38FF35DB"/>
    <w:rsid w:val="396B3FDB"/>
    <w:rsid w:val="39B51E3E"/>
    <w:rsid w:val="39C221D0"/>
    <w:rsid w:val="39D157D6"/>
    <w:rsid w:val="39D203A7"/>
    <w:rsid w:val="39E41CD4"/>
    <w:rsid w:val="3A0D2792"/>
    <w:rsid w:val="3A2A3C3D"/>
    <w:rsid w:val="3A5226CE"/>
    <w:rsid w:val="3A532FD6"/>
    <w:rsid w:val="3A544207"/>
    <w:rsid w:val="3A89349D"/>
    <w:rsid w:val="3A9577A0"/>
    <w:rsid w:val="3A96278F"/>
    <w:rsid w:val="3AB7558A"/>
    <w:rsid w:val="3ACC7E1B"/>
    <w:rsid w:val="3AD409EF"/>
    <w:rsid w:val="3B0C5B8A"/>
    <w:rsid w:val="3B12118A"/>
    <w:rsid w:val="3B1A6F5D"/>
    <w:rsid w:val="3B1D3166"/>
    <w:rsid w:val="3B2E5004"/>
    <w:rsid w:val="3B36648A"/>
    <w:rsid w:val="3B3D739B"/>
    <w:rsid w:val="3B3F44FD"/>
    <w:rsid w:val="3B452193"/>
    <w:rsid w:val="3B800141"/>
    <w:rsid w:val="3B85771B"/>
    <w:rsid w:val="3B9D722A"/>
    <w:rsid w:val="3BED0723"/>
    <w:rsid w:val="3BFC5F13"/>
    <w:rsid w:val="3C00750E"/>
    <w:rsid w:val="3C06343B"/>
    <w:rsid w:val="3C092987"/>
    <w:rsid w:val="3C2174D4"/>
    <w:rsid w:val="3C3A347D"/>
    <w:rsid w:val="3C3C63C2"/>
    <w:rsid w:val="3C3E1180"/>
    <w:rsid w:val="3C7D53B6"/>
    <w:rsid w:val="3C9616EF"/>
    <w:rsid w:val="3CDC1D7A"/>
    <w:rsid w:val="3D0978AF"/>
    <w:rsid w:val="3D6C62CA"/>
    <w:rsid w:val="3D8C4568"/>
    <w:rsid w:val="3D8D7CF5"/>
    <w:rsid w:val="3DE42E5F"/>
    <w:rsid w:val="3DEB40F0"/>
    <w:rsid w:val="3E054FE4"/>
    <w:rsid w:val="3E38301B"/>
    <w:rsid w:val="3E761272"/>
    <w:rsid w:val="3E775D8E"/>
    <w:rsid w:val="3E8C543B"/>
    <w:rsid w:val="3E97321A"/>
    <w:rsid w:val="3EA12101"/>
    <w:rsid w:val="3EE57BAE"/>
    <w:rsid w:val="3F2F4242"/>
    <w:rsid w:val="3F5C0582"/>
    <w:rsid w:val="3F787BD3"/>
    <w:rsid w:val="3F8B6862"/>
    <w:rsid w:val="3F9F692B"/>
    <w:rsid w:val="3FAF60DF"/>
    <w:rsid w:val="3FAF732F"/>
    <w:rsid w:val="3FEA43DA"/>
    <w:rsid w:val="40080CA7"/>
    <w:rsid w:val="402D4B8D"/>
    <w:rsid w:val="40466BB5"/>
    <w:rsid w:val="404E3A7D"/>
    <w:rsid w:val="405D1BB7"/>
    <w:rsid w:val="40F5767C"/>
    <w:rsid w:val="410621E4"/>
    <w:rsid w:val="412D67DF"/>
    <w:rsid w:val="41403840"/>
    <w:rsid w:val="418812C7"/>
    <w:rsid w:val="41C80D4A"/>
    <w:rsid w:val="41D06A97"/>
    <w:rsid w:val="41FE05BE"/>
    <w:rsid w:val="42221AAD"/>
    <w:rsid w:val="42422492"/>
    <w:rsid w:val="424D1034"/>
    <w:rsid w:val="425445BF"/>
    <w:rsid w:val="42BD61BD"/>
    <w:rsid w:val="42F62B51"/>
    <w:rsid w:val="43314EDD"/>
    <w:rsid w:val="4341376D"/>
    <w:rsid w:val="43650625"/>
    <w:rsid w:val="438D1004"/>
    <w:rsid w:val="43E73F6A"/>
    <w:rsid w:val="43F5419F"/>
    <w:rsid w:val="440A1F81"/>
    <w:rsid w:val="444365F5"/>
    <w:rsid w:val="44811355"/>
    <w:rsid w:val="449B17B0"/>
    <w:rsid w:val="44AD7DAF"/>
    <w:rsid w:val="44E112C9"/>
    <w:rsid w:val="452417A9"/>
    <w:rsid w:val="45446E95"/>
    <w:rsid w:val="45733F34"/>
    <w:rsid w:val="459A4CFD"/>
    <w:rsid w:val="45DD073F"/>
    <w:rsid w:val="45DE1009"/>
    <w:rsid w:val="45F442BA"/>
    <w:rsid w:val="460B6C40"/>
    <w:rsid w:val="46146ADE"/>
    <w:rsid w:val="461F6951"/>
    <w:rsid w:val="46687912"/>
    <w:rsid w:val="46A34317"/>
    <w:rsid w:val="46D81A7A"/>
    <w:rsid w:val="46DD1500"/>
    <w:rsid w:val="47062572"/>
    <w:rsid w:val="47081DF4"/>
    <w:rsid w:val="472C5562"/>
    <w:rsid w:val="4743693D"/>
    <w:rsid w:val="47476B12"/>
    <w:rsid w:val="477635FA"/>
    <w:rsid w:val="478857F5"/>
    <w:rsid w:val="47894AAE"/>
    <w:rsid w:val="47D64C6B"/>
    <w:rsid w:val="482D5A0D"/>
    <w:rsid w:val="484109AB"/>
    <w:rsid w:val="485B2C0C"/>
    <w:rsid w:val="48747B33"/>
    <w:rsid w:val="48F23095"/>
    <w:rsid w:val="493076EA"/>
    <w:rsid w:val="494A2982"/>
    <w:rsid w:val="49A517C5"/>
    <w:rsid w:val="49A74F30"/>
    <w:rsid w:val="49D11502"/>
    <w:rsid w:val="4A164F10"/>
    <w:rsid w:val="4A5D4942"/>
    <w:rsid w:val="4A7871BE"/>
    <w:rsid w:val="4ACD3996"/>
    <w:rsid w:val="4AE138E0"/>
    <w:rsid w:val="4B2D732D"/>
    <w:rsid w:val="4B3B23B8"/>
    <w:rsid w:val="4B4D45DE"/>
    <w:rsid w:val="4B6D3B7D"/>
    <w:rsid w:val="4BF474B2"/>
    <w:rsid w:val="4C170BB5"/>
    <w:rsid w:val="4C637902"/>
    <w:rsid w:val="4C66300C"/>
    <w:rsid w:val="4CB12BDB"/>
    <w:rsid w:val="4CBF4F7E"/>
    <w:rsid w:val="4CC95A59"/>
    <w:rsid w:val="4D014F4B"/>
    <w:rsid w:val="4D111EBF"/>
    <w:rsid w:val="4D446EA4"/>
    <w:rsid w:val="4DA81EFF"/>
    <w:rsid w:val="4DCA1406"/>
    <w:rsid w:val="4DD8569D"/>
    <w:rsid w:val="4DD91195"/>
    <w:rsid w:val="4DE71A4E"/>
    <w:rsid w:val="4E014DC3"/>
    <w:rsid w:val="4E042157"/>
    <w:rsid w:val="4E1E7B92"/>
    <w:rsid w:val="4E5B6D52"/>
    <w:rsid w:val="4E637062"/>
    <w:rsid w:val="4E6455A3"/>
    <w:rsid w:val="4EC922AE"/>
    <w:rsid w:val="4ED87A95"/>
    <w:rsid w:val="4EEB2924"/>
    <w:rsid w:val="4F351180"/>
    <w:rsid w:val="4F43760A"/>
    <w:rsid w:val="4F53799D"/>
    <w:rsid w:val="4F9E148F"/>
    <w:rsid w:val="4FA10B0A"/>
    <w:rsid w:val="4FC710E0"/>
    <w:rsid w:val="4FCA6347"/>
    <w:rsid w:val="4FDA6F6F"/>
    <w:rsid w:val="4FE416A0"/>
    <w:rsid w:val="50825682"/>
    <w:rsid w:val="508930C3"/>
    <w:rsid w:val="50933EF4"/>
    <w:rsid w:val="509F1309"/>
    <w:rsid w:val="50AC6C11"/>
    <w:rsid w:val="50DC1645"/>
    <w:rsid w:val="51302C8A"/>
    <w:rsid w:val="513347BD"/>
    <w:rsid w:val="51777737"/>
    <w:rsid w:val="51817040"/>
    <w:rsid w:val="51860AA0"/>
    <w:rsid w:val="518D0329"/>
    <w:rsid w:val="51AC2E10"/>
    <w:rsid w:val="51C97E41"/>
    <w:rsid w:val="51F87023"/>
    <w:rsid w:val="52AF0956"/>
    <w:rsid w:val="52CD4415"/>
    <w:rsid w:val="53152CF3"/>
    <w:rsid w:val="534E5277"/>
    <w:rsid w:val="5398198C"/>
    <w:rsid w:val="53BC13C0"/>
    <w:rsid w:val="53CB05B0"/>
    <w:rsid w:val="54013A79"/>
    <w:rsid w:val="543138E1"/>
    <w:rsid w:val="543E1D50"/>
    <w:rsid w:val="54472434"/>
    <w:rsid w:val="54627561"/>
    <w:rsid w:val="54694AFE"/>
    <w:rsid w:val="547424E0"/>
    <w:rsid w:val="54EB1721"/>
    <w:rsid w:val="54F3718A"/>
    <w:rsid w:val="550E76EC"/>
    <w:rsid w:val="55687CF0"/>
    <w:rsid w:val="55966A67"/>
    <w:rsid w:val="55A87A93"/>
    <w:rsid w:val="55C634F4"/>
    <w:rsid w:val="55ED2BED"/>
    <w:rsid w:val="55FC33A1"/>
    <w:rsid w:val="56270487"/>
    <w:rsid w:val="565B013C"/>
    <w:rsid w:val="56757903"/>
    <w:rsid w:val="57104E15"/>
    <w:rsid w:val="57111973"/>
    <w:rsid w:val="575773DD"/>
    <w:rsid w:val="577D2054"/>
    <w:rsid w:val="57903FC2"/>
    <w:rsid w:val="57AB386C"/>
    <w:rsid w:val="57F00FC1"/>
    <w:rsid w:val="580E7773"/>
    <w:rsid w:val="58246B64"/>
    <w:rsid w:val="584A2F15"/>
    <w:rsid w:val="58845B03"/>
    <w:rsid w:val="589E35AA"/>
    <w:rsid w:val="58E40E5E"/>
    <w:rsid w:val="58EF7F6B"/>
    <w:rsid w:val="59303196"/>
    <w:rsid w:val="59311F82"/>
    <w:rsid w:val="594E5819"/>
    <w:rsid w:val="599351DD"/>
    <w:rsid w:val="59961862"/>
    <w:rsid w:val="59976EE9"/>
    <w:rsid w:val="59AA515D"/>
    <w:rsid w:val="59AB7E9C"/>
    <w:rsid w:val="59E344D4"/>
    <w:rsid w:val="59F1060F"/>
    <w:rsid w:val="5A0D4B37"/>
    <w:rsid w:val="5A0F752C"/>
    <w:rsid w:val="5A1F5FA3"/>
    <w:rsid w:val="5A7C4ACF"/>
    <w:rsid w:val="5A8557FC"/>
    <w:rsid w:val="5A954CC6"/>
    <w:rsid w:val="5ADB4D4E"/>
    <w:rsid w:val="5AFD1118"/>
    <w:rsid w:val="5B214966"/>
    <w:rsid w:val="5B2F42DE"/>
    <w:rsid w:val="5B3A2106"/>
    <w:rsid w:val="5B512C4F"/>
    <w:rsid w:val="5B5A1DBB"/>
    <w:rsid w:val="5B7471AB"/>
    <w:rsid w:val="5BA0600B"/>
    <w:rsid w:val="5BC15AC3"/>
    <w:rsid w:val="5BDA41DC"/>
    <w:rsid w:val="5C013209"/>
    <w:rsid w:val="5C97635D"/>
    <w:rsid w:val="5CB01B2D"/>
    <w:rsid w:val="5CBF5BB2"/>
    <w:rsid w:val="5CD15681"/>
    <w:rsid w:val="5CF83F01"/>
    <w:rsid w:val="5D4E7AFE"/>
    <w:rsid w:val="5DC32E70"/>
    <w:rsid w:val="5DCF1E63"/>
    <w:rsid w:val="5DDA1080"/>
    <w:rsid w:val="5DDF7880"/>
    <w:rsid w:val="5DFA775E"/>
    <w:rsid w:val="5E0C0258"/>
    <w:rsid w:val="5E2C4BD4"/>
    <w:rsid w:val="5E424193"/>
    <w:rsid w:val="5EB841D9"/>
    <w:rsid w:val="5EE24C3D"/>
    <w:rsid w:val="5EEE082D"/>
    <w:rsid w:val="5F516AC6"/>
    <w:rsid w:val="5F961CC6"/>
    <w:rsid w:val="5FCA6909"/>
    <w:rsid w:val="5FFE0E01"/>
    <w:rsid w:val="600147EE"/>
    <w:rsid w:val="604B0BEF"/>
    <w:rsid w:val="6084268E"/>
    <w:rsid w:val="609C3AD4"/>
    <w:rsid w:val="610C59E8"/>
    <w:rsid w:val="612856B1"/>
    <w:rsid w:val="61444B6A"/>
    <w:rsid w:val="616858C3"/>
    <w:rsid w:val="61693FC7"/>
    <w:rsid w:val="6173477E"/>
    <w:rsid w:val="61C51C05"/>
    <w:rsid w:val="62285242"/>
    <w:rsid w:val="623B6DAA"/>
    <w:rsid w:val="625421D3"/>
    <w:rsid w:val="6254288E"/>
    <w:rsid w:val="62707C45"/>
    <w:rsid w:val="627F11F4"/>
    <w:rsid w:val="62956E85"/>
    <w:rsid w:val="62CC79F7"/>
    <w:rsid w:val="62F24D85"/>
    <w:rsid w:val="62F600F4"/>
    <w:rsid w:val="62F74C9B"/>
    <w:rsid w:val="62FE57E5"/>
    <w:rsid w:val="63013963"/>
    <w:rsid w:val="633011A2"/>
    <w:rsid w:val="63360AB3"/>
    <w:rsid w:val="635E3293"/>
    <w:rsid w:val="63945DEE"/>
    <w:rsid w:val="63A16A99"/>
    <w:rsid w:val="63A93E88"/>
    <w:rsid w:val="63AF7CB9"/>
    <w:rsid w:val="63BC43AE"/>
    <w:rsid w:val="63BF07FD"/>
    <w:rsid w:val="63CF21D8"/>
    <w:rsid w:val="63DD44AB"/>
    <w:rsid w:val="64195E15"/>
    <w:rsid w:val="644F17C1"/>
    <w:rsid w:val="6459718C"/>
    <w:rsid w:val="648724EB"/>
    <w:rsid w:val="649615C4"/>
    <w:rsid w:val="64CD22E7"/>
    <w:rsid w:val="64D012D7"/>
    <w:rsid w:val="651965FD"/>
    <w:rsid w:val="65200DF3"/>
    <w:rsid w:val="65252AF2"/>
    <w:rsid w:val="655A6B81"/>
    <w:rsid w:val="655E6D60"/>
    <w:rsid w:val="658447AF"/>
    <w:rsid w:val="659323BF"/>
    <w:rsid w:val="65A268BE"/>
    <w:rsid w:val="65B01BB3"/>
    <w:rsid w:val="65EE10CF"/>
    <w:rsid w:val="66103425"/>
    <w:rsid w:val="662D15ED"/>
    <w:rsid w:val="66300E2E"/>
    <w:rsid w:val="665003BD"/>
    <w:rsid w:val="665C35C6"/>
    <w:rsid w:val="666171EE"/>
    <w:rsid w:val="66822730"/>
    <w:rsid w:val="6683497B"/>
    <w:rsid w:val="669B368E"/>
    <w:rsid w:val="66AE112C"/>
    <w:rsid w:val="66E81C9B"/>
    <w:rsid w:val="673622DE"/>
    <w:rsid w:val="674847DB"/>
    <w:rsid w:val="674E1AF4"/>
    <w:rsid w:val="678F1E6F"/>
    <w:rsid w:val="67DE76F7"/>
    <w:rsid w:val="684635AF"/>
    <w:rsid w:val="68820C54"/>
    <w:rsid w:val="68C340FF"/>
    <w:rsid w:val="68F040AC"/>
    <w:rsid w:val="6947241A"/>
    <w:rsid w:val="69815221"/>
    <w:rsid w:val="69850634"/>
    <w:rsid w:val="69A03009"/>
    <w:rsid w:val="69AA4FF2"/>
    <w:rsid w:val="69CB24C7"/>
    <w:rsid w:val="69F237DE"/>
    <w:rsid w:val="6A272557"/>
    <w:rsid w:val="6A30156A"/>
    <w:rsid w:val="6A6C7B62"/>
    <w:rsid w:val="6AAF2CBA"/>
    <w:rsid w:val="6AF7510C"/>
    <w:rsid w:val="6B32136D"/>
    <w:rsid w:val="6B6B341E"/>
    <w:rsid w:val="6BC4160E"/>
    <w:rsid w:val="6BC8761D"/>
    <w:rsid w:val="6BDE3350"/>
    <w:rsid w:val="6BEF7E78"/>
    <w:rsid w:val="6C1563AE"/>
    <w:rsid w:val="6C3A7EE3"/>
    <w:rsid w:val="6C65192D"/>
    <w:rsid w:val="6C7664E9"/>
    <w:rsid w:val="6CD33691"/>
    <w:rsid w:val="6D146FA7"/>
    <w:rsid w:val="6D391F91"/>
    <w:rsid w:val="6DA5112D"/>
    <w:rsid w:val="6DBC49C2"/>
    <w:rsid w:val="6DFA2FE9"/>
    <w:rsid w:val="6E2173EB"/>
    <w:rsid w:val="6E5A3A64"/>
    <w:rsid w:val="6E79608A"/>
    <w:rsid w:val="6E842329"/>
    <w:rsid w:val="6E8F09E3"/>
    <w:rsid w:val="6E9F67A5"/>
    <w:rsid w:val="6FA2221A"/>
    <w:rsid w:val="6FB23E0A"/>
    <w:rsid w:val="6FC000CF"/>
    <w:rsid w:val="6FF6336C"/>
    <w:rsid w:val="70022C01"/>
    <w:rsid w:val="700C35B5"/>
    <w:rsid w:val="700F4AAF"/>
    <w:rsid w:val="702538DF"/>
    <w:rsid w:val="702D5B8B"/>
    <w:rsid w:val="70326C7E"/>
    <w:rsid w:val="703B7419"/>
    <w:rsid w:val="70B1243C"/>
    <w:rsid w:val="70B84DFB"/>
    <w:rsid w:val="70BA662E"/>
    <w:rsid w:val="71096B80"/>
    <w:rsid w:val="711E70A6"/>
    <w:rsid w:val="71746737"/>
    <w:rsid w:val="719F3A13"/>
    <w:rsid w:val="71C50449"/>
    <w:rsid w:val="71CF1E56"/>
    <w:rsid w:val="71CF3B0B"/>
    <w:rsid w:val="71D05154"/>
    <w:rsid w:val="71E156D7"/>
    <w:rsid w:val="71E304FB"/>
    <w:rsid w:val="72284A2D"/>
    <w:rsid w:val="72521B90"/>
    <w:rsid w:val="728225E6"/>
    <w:rsid w:val="72902357"/>
    <w:rsid w:val="72A43043"/>
    <w:rsid w:val="72B364AC"/>
    <w:rsid w:val="72E465FC"/>
    <w:rsid w:val="73081CA0"/>
    <w:rsid w:val="732D775D"/>
    <w:rsid w:val="7345009B"/>
    <w:rsid w:val="73D05A4F"/>
    <w:rsid w:val="73E009F8"/>
    <w:rsid w:val="73EB35D2"/>
    <w:rsid w:val="73F15D51"/>
    <w:rsid w:val="74440B80"/>
    <w:rsid w:val="74664F4D"/>
    <w:rsid w:val="749C7105"/>
    <w:rsid w:val="74E77932"/>
    <w:rsid w:val="74F13ED1"/>
    <w:rsid w:val="75197D24"/>
    <w:rsid w:val="75616DB1"/>
    <w:rsid w:val="757A6B90"/>
    <w:rsid w:val="75CF2A2B"/>
    <w:rsid w:val="75D12359"/>
    <w:rsid w:val="75D6427E"/>
    <w:rsid w:val="76014659"/>
    <w:rsid w:val="76446400"/>
    <w:rsid w:val="766A5A07"/>
    <w:rsid w:val="769115A7"/>
    <w:rsid w:val="76AB17BF"/>
    <w:rsid w:val="76DD14F2"/>
    <w:rsid w:val="76E75071"/>
    <w:rsid w:val="77067CAE"/>
    <w:rsid w:val="770D4066"/>
    <w:rsid w:val="773D04A8"/>
    <w:rsid w:val="775B1EEC"/>
    <w:rsid w:val="77822AF7"/>
    <w:rsid w:val="77850FC4"/>
    <w:rsid w:val="77AB6819"/>
    <w:rsid w:val="78090CAD"/>
    <w:rsid w:val="783155B4"/>
    <w:rsid w:val="784D4CBF"/>
    <w:rsid w:val="785E002D"/>
    <w:rsid w:val="78AB5935"/>
    <w:rsid w:val="78BF373C"/>
    <w:rsid w:val="791825D4"/>
    <w:rsid w:val="79237BC5"/>
    <w:rsid w:val="79D624DA"/>
    <w:rsid w:val="7A1978D5"/>
    <w:rsid w:val="7A7C7D3D"/>
    <w:rsid w:val="7A8A52E7"/>
    <w:rsid w:val="7AF7509B"/>
    <w:rsid w:val="7B441D74"/>
    <w:rsid w:val="7BF91FA7"/>
    <w:rsid w:val="7C1143DB"/>
    <w:rsid w:val="7C8C2F9F"/>
    <w:rsid w:val="7CAC1EBE"/>
    <w:rsid w:val="7CCC5306"/>
    <w:rsid w:val="7CE83D5E"/>
    <w:rsid w:val="7CF95751"/>
    <w:rsid w:val="7CFE4E2A"/>
    <w:rsid w:val="7D013E4D"/>
    <w:rsid w:val="7D417B44"/>
    <w:rsid w:val="7D7A3C0F"/>
    <w:rsid w:val="7D916635"/>
    <w:rsid w:val="7DB50F00"/>
    <w:rsid w:val="7E104A77"/>
    <w:rsid w:val="7E2C4EF9"/>
    <w:rsid w:val="7E356B7F"/>
    <w:rsid w:val="7E6551B2"/>
    <w:rsid w:val="7E97032F"/>
    <w:rsid w:val="7E9F0651"/>
    <w:rsid w:val="7EAD125A"/>
    <w:rsid w:val="7EAE473D"/>
    <w:rsid w:val="7EFC2654"/>
    <w:rsid w:val="7F066215"/>
    <w:rsid w:val="7F433EF3"/>
    <w:rsid w:val="7F73588F"/>
    <w:rsid w:val="7FB369FD"/>
    <w:rsid w:val="7FBD44DD"/>
    <w:rsid w:val="7FD62159"/>
    <w:rsid w:val="7FDD2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99"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jc w:val="both"/>
    </w:pPr>
    <w:rPr>
      <w:rFonts w:ascii="宋体" w:hAnsi="宋体" w:eastAsia="仿宋" w:cs="宋体"/>
      <w:color w:val="000000"/>
      <w:kern w:val="2"/>
      <w:sz w:val="24"/>
      <w:szCs w:val="22"/>
      <w:lang w:val="en-US" w:eastAsia="zh-CN" w:bidi="ar-SA"/>
    </w:rPr>
  </w:style>
  <w:style w:type="paragraph" w:styleId="4">
    <w:name w:val="heading 1"/>
    <w:basedOn w:val="1"/>
    <w:next w:val="1"/>
    <w:link w:val="35"/>
    <w:qFormat/>
    <w:uiPriority w:val="9"/>
    <w:pPr>
      <w:keepNext/>
      <w:keepLines/>
      <w:spacing w:line="576" w:lineRule="auto"/>
      <w:jc w:val="center"/>
      <w:outlineLvl w:val="0"/>
    </w:pPr>
    <w:rPr>
      <w:rFonts w:eastAsia="宋体"/>
      <w:b/>
      <w:kern w:val="44"/>
      <w:sz w:val="36"/>
    </w:rPr>
  </w:style>
  <w:style w:type="paragraph" w:styleId="5">
    <w:name w:val="heading 2"/>
    <w:basedOn w:val="1"/>
    <w:next w:val="1"/>
    <w:link w:val="36"/>
    <w:qFormat/>
    <w:uiPriority w:val="9"/>
    <w:pPr>
      <w:keepNext/>
      <w:keepLines/>
      <w:spacing w:before="260" w:after="260" w:line="416" w:lineRule="auto"/>
      <w:outlineLvl w:val="1"/>
    </w:pPr>
    <w:rPr>
      <w:rFonts w:ascii="Cambria" w:hAnsi="Cambria" w:eastAsia="宋体"/>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51"/>
    <w:qFormat/>
    <w:uiPriority w:val="0"/>
    <w:pPr>
      <w:spacing w:after="120"/>
    </w:pPr>
    <w:rPr>
      <w:kern w:val="0"/>
      <w:szCs w:val="21"/>
    </w:rPr>
  </w:style>
  <w:style w:type="paragraph" w:styleId="3">
    <w:name w:val="Body Text First Indent"/>
    <w:basedOn w:val="2"/>
    <w:qFormat/>
    <w:uiPriority w:val="0"/>
    <w:pPr>
      <w:ind w:firstLine="420" w:firstLineChars="100"/>
    </w:pPr>
    <w:rPr>
      <w:rFonts w:eastAsia="宋体"/>
    </w:rPr>
  </w:style>
  <w:style w:type="paragraph" w:styleId="6">
    <w:name w:val="Normal Indent"/>
    <w:basedOn w:val="1"/>
    <w:qFormat/>
    <w:uiPriority w:val="99"/>
    <w:pPr>
      <w:ind w:firstLine="420" w:firstLineChars="200"/>
    </w:pPr>
    <w:rPr>
      <w:kern w:val="0"/>
      <w:szCs w:val="20"/>
    </w:rPr>
  </w:style>
  <w:style w:type="paragraph" w:styleId="7">
    <w:name w:val="annotation text"/>
    <w:basedOn w:val="1"/>
    <w:qFormat/>
    <w:uiPriority w:val="99"/>
    <w:pPr>
      <w:jc w:val="left"/>
    </w:pPr>
  </w:style>
  <w:style w:type="paragraph" w:styleId="8">
    <w:name w:val="toc 3"/>
    <w:basedOn w:val="1"/>
    <w:next w:val="1"/>
    <w:qFormat/>
    <w:uiPriority w:val="39"/>
    <w:pPr>
      <w:widowControl/>
      <w:spacing w:after="100" w:line="276" w:lineRule="auto"/>
      <w:ind w:left="440" w:firstLine="0"/>
      <w:jc w:val="left"/>
    </w:pPr>
    <w:rPr>
      <w:rFonts w:ascii="Calibri" w:hAnsi="Calibri" w:eastAsia="宋体"/>
      <w:color w:val="auto"/>
      <w:kern w:val="0"/>
      <w:sz w:val="22"/>
    </w:rPr>
  </w:style>
  <w:style w:type="paragraph" w:styleId="9">
    <w:name w:val="Plain Text"/>
    <w:basedOn w:val="1"/>
    <w:qFormat/>
    <w:uiPriority w:val="0"/>
    <w:rPr>
      <w:rFonts w:hAnsi="Courier New"/>
      <w:szCs w:val="20"/>
    </w:rPr>
  </w:style>
  <w:style w:type="paragraph" w:styleId="10">
    <w:name w:val="Date"/>
    <w:basedOn w:val="1"/>
    <w:next w:val="1"/>
    <w:link w:val="44"/>
    <w:qFormat/>
    <w:uiPriority w:val="99"/>
    <w:pPr>
      <w:ind w:left="100" w:leftChars="2500"/>
    </w:pPr>
  </w:style>
  <w:style w:type="paragraph" w:styleId="11">
    <w:name w:val="Balloon Text"/>
    <w:basedOn w:val="1"/>
    <w:link w:val="37"/>
    <w:qFormat/>
    <w:uiPriority w:val="99"/>
    <w:pPr>
      <w:spacing w:line="240" w:lineRule="auto"/>
    </w:pPr>
    <w:rPr>
      <w:sz w:val="18"/>
      <w:szCs w:val="18"/>
    </w:rPr>
  </w:style>
  <w:style w:type="paragraph" w:styleId="12">
    <w:name w:val="footer"/>
    <w:basedOn w:val="1"/>
    <w:link w:val="34"/>
    <w:qFormat/>
    <w:uiPriority w:val="99"/>
    <w:pPr>
      <w:tabs>
        <w:tab w:val="center" w:pos="4153"/>
        <w:tab w:val="right" w:pos="8306"/>
      </w:tabs>
      <w:snapToGrid w:val="0"/>
      <w:jc w:val="left"/>
    </w:pPr>
    <w:rPr>
      <w:sz w:val="18"/>
      <w:szCs w:val="18"/>
    </w:rPr>
  </w:style>
  <w:style w:type="paragraph" w:styleId="13">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Subtitle"/>
    <w:basedOn w:val="1"/>
    <w:next w:val="1"/>
    <w:link w:val="58"/>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16">
    <w:name w:val="toc 2"/>
    <w:basedOn w:val="1"/>
    <w:next w:val="1"/>
    <w:qFormat/>
    <w:uiPriority w:val="39"/>
    <w:pPr>
      <w:tabs>
        <w:tab w:val="right" w:leader="dot" w:pos="8296"/>
      </w:tabs>
      <w:ind w:firstLine="0"/>
    </w:pPr>
  </w:style>
  <w:style w:type="paragraph" w:styleId="17">
    <w:name w:val="Normal (Web)"/>
    <w:basedOn w:val="1"/>
    <w:qFormat/>
    <w:uiPriority w:val="0"/>
    <w:pPr>
      <w:widowControl/>
      <w:spacing w:before="100" w:beforeAutospacing="1" w:after="100" w:afterAutospacing="1" w:line="240" w:lineRule="auto"/>
      <w:ind w:firstLine="0"/>
      <w:jc w:val="left"/>
    </w:pPr>
    <w:rPr>
      <w:rFonts w:eastAsia="宋体"/>
      <w:color w:val="auto"/>
      <w:kern w:val="0"/>
      <w:szCs w:val="24"/>
    </w:rPr>
  </w:style>
  <w:style w:type="paragraph" w:styleId="18">
    <w:name w:val="Title"/>
    <w:basedOn w:val="1"/>
    <w:next w:val="1"/>
    <w:link w:val="57"/>
    <w:qFormat/>
    <w:uiPriority w:val="10"/>
    <w:pPr>
      <w:spacing w:before="60" w:after="60"/>
      <w:jc w:val="center"/>
      <w:outlineLvl w:val="0"/>
    </w:pPr>
    <w:rPr>
      <w:rFonts w:ascii="Cambria" w:hAnsi="Cambria" w:cs="Times New Roman"/>
      <w:b/>
      <w:bCs/>
      <w:szCs w:val="32"/>
    </w:rPr>
  </w:style>
  <w:style w:type="table" w:styleId="20">
    <w:name w:val="Table Grid"/>
    <w:basedOn w:val="19"/>
    <w:qFormat/>
    <w:uiPriority w:val="59"/>
    <w:rPr>
      <w:rFonts w:ascii="Calibri" w:hAnsi="Calibri" w:cs="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FollowedHyperlink"/>
    <w:basedOn w:val="21"/>
    <w:qFormat/>
    <w:uiPriority w:val="99"/>
    <w:rPr>
      <w:color w:val="333333"/>
      <w:u w:val="none"/>
    </w:rPr>
  </w:style>
  <w:style w:type="character" w:styleId="24">
    <w:name w:val="Emphasis"/>
    <w:basedOn w:val="21"/>
    <w:qFormat/>
    <w:uiPriority w:val="20"/>
  </w:style>
  <w:style w:type="character" w:styleId="25">
    <w:name w:val="HTML Definition"/>
    <w:basedOn w:val="21"/>
    <w:qFormat/>
    <w:uiPriority w:val="99"/>
  </w:style>
  <w:style w:type="character" w:styleId="26">
    <w:name w:val="HTML Variable"/>
    <w:basedOn w:val="21"/>
    <w:qFormat/>
    <w:uiPriority w:val="99"/>
  </w:style>
  <w:style w:type="character" w:styleId="27">
    <w:name w:val="Hyperlink"/>
    <w:qFormat/>
    <w:uiPriority w:val="99"/>
    <w:rPr>
      <w:color w:val="0000FF"/>
      <w:u w:val="single"/>
    </w:rPr>
  </w:style>
  <w:style w:type="character" w:styleId="28">
    <w:name w:val="HTML Code"/>
    <w:basedOn w:val="21"/>
    <w:qFormat/>
    <w:uiPriority w:val="99"/>
    <w:rPr>
      <w:rFonts w:ascii="Courier New" w:hAnsi="Courier New"/>
      <w:sz w:val="20"/>
    </w:rPr>
  </w:style>
  <w:style w:type="character" w:styleId="29">
    <w:name w:val="HTML Cite"/>
    <w:basedOn w:val="21"/>
    <w:qFormat/>
    <w:uiPriority w:val="99"/>
  </w:style>
  <w:style w:type="paragraph" w:customStyle="1" w:styleId="30">
    <w:name w:val="标题 5（有编号）（绿盟科技）"/>
    <w:basedOn w:val="1"/>
    <w:next w:val="31"/>
    <w:qFormat/>
    <w:uiPriority w:val="99"/>
    <w:pPr>
      <w:keepNext/>
      <w:keepLines/>
      <w:numPr>
        <w:ilvl w:val="4"/>
        <w:numId w:val="1"/>
      </w:numPr>
      <w:spacing w:before="280" w:after="156" w:line="376" w:lineRule="auto"/>
      <w:jc w:val="left"/>
      <w:outlineLvl w:val="4"/>
    </w:pPr>
    <w:rPr>
      <w:rFonts w:ascii="Arial" w:hAnsi="Arial" w:eastAsia="黑体"/>
      <w:b/>
      <w:kern w:val="0"/>
      <w:sz w:val="34"/>
      <w:szCs w:val="28"/>
    </w:rPr>
  </w:style>
  <w:style w:type="paragraph" w:customStyle="1" w:styleId="31">
    <w:name w:val="正文（绿盟科技）"/>
    <w:basedOn w:val="1"/>
    <w:qFormat/>
    <w:uiPriority w:val="99"/>
    <w:pPr>
      <w:widowControl/>
      <w:spacing w:line="300" w:lineRule="auto"/>
      <w:jc w:val="left"/>
    </w:pPr>
    <w:rPr>
      <w:rFonts w:ascii="Arial" w:hAnsi="Arial"/>
      <w:kern w:val="0"/>
      <w:szCs w:val="21"/>
    </w:rPr>
  </w:style>
  <w:style w:type="paragraph" w:customStyle="1" w:styleId="32">
    <w:name w:val="无间隔1"/>
    <w:basedOn w:val="1"/>
    <w:qFormat/>
    <w:uiPriority w:val="1"/>
    <w:pPr>
      <w:spacing w:line="400" w:lineRule="exact"/>
    </w:pPr>
    <w:rPr>
      <w:rFonts w:eastAsia="宋体"/>
    </w:rPr>
  </w:style>
  <w:style w:type="character" w:customStyle="1" w:styleId="33">
    <w:name w:val="页眉 Char"/>
    <w:basedOn w:val="21"/>
    <w:link w:val="13"/>
    <w:qFormat/>
    <w:uiPriority w:val="99"/>
    <w:rPr>
      <w:sz w:val="18"/>
      <w:szCs w:val="18"/>
    </w:rPr>
  </w:style>
  <w:style w:type="character" w:customStyle="1" w:styleId="34">
    <w:name w:val="页脚 Char"/>
    <w:basedOn w:val="21"/>
    <w:link w:val="12"/>
    <w:qFormat/>
    <w:uiPriority w:val="99"/>
    <w:rPr>
      <w:sz w:val="18"/>
      <w:szCs w:val="18"/>
    </w:rPr>
  </w:style>
  <w:style w:type="character" w:customStyle="1" w:styleId="35">
    <w:name w:val="标题 1 Char"/>
    <w:basedOn w:val="21"/>
    <w:link w:val="4"/>
    <w:qFormat/>
    <w:uiPriority w:val="9"/>
    <w:rPr>
      <w:rFonts w:cs="宋体"/>
      <w:b/>
      <w:color w:val="000000"/>
      <w:kern w:val="44"/>
      <w:sz w:val="36"/>
      <w:szCs w:val="22"/>
    </w:rPr>
  </w:style>
  <w:style w:type="character" w:customStyle="1" w:styleId="36">
    <w:name w:val="标题 2 Char"/>
    <w:basedOn w:val="21"/>
    <w:link w:val="5"/>
    <w:qFormat/>
    <w:uiPriority w:val="9"/>
    <w:rPr>
      <w:rFonts w:ascii="Cambria" w:hAnsi="Cambria" w:eastAsia="宋体" w:cs="宋体"/>
      <w:b/>
      <w:bCs/>
      <w:color w:val="000000"/>
      <w:sz w:val="32"/>
      <w:szCs w:val="32"/>
    </w:rPr>
  </w:style>
  <w:style w:type="character" w:customStyle="1" w:styleId="37">
    <w:name w:val="批注框文本 Char"/>
    <w:basedOn w:val="21"/>
    <w:link w:val="11"/>
    <w:qFormat/>
    <w:uiPriority w:val="99"/>
    <w:rPr>
      <w:rFonts w:eastAsia="仿宋" w:cs="宋体"/>
      <w:color w:val="000000"/>
      <w:sz w:val="18"/>
      <w:szCs w:val="18"/>
    </w:rPr>
  </w:style>
  <w:style w:type="paragraph" w:styleId="38">
    <w:name w:val="List Paragraph"/>
    <w:basedOn w:val="1"/>
    <w:qFormat/>
    <w:uiPriority w:val="34"/>
    <w:pPr>
      <w:ind w:firstLine="420" w:firstLineChars="200"/>
    </w:pPr>
  </w:style>
  <w:style w:type="paragraph" w:styleId="39">
    <w:name w:val="No Spacing"/>
    <w:qFormat/>
    <w:uiPriority w:val="1"/>
    <w:pPr>
      <w:widowControl w:val="0"/>
      <w:ind w:firstLine="480"/>
      <w:jc w:val="both"/>
    </w:pPr>
    <w:rPr>
      <w:rFonts w:ascii="宋体" w:hAnsi="宋体" w:eastAsia="仿宋" w:cs="宋体"/>
      <w:color w:val="000000"/>
      <w:kern w:val="2"/>
      <w:sz w:val="24"/>
      <w:szCs w:val="22"/>
      <w:lang w:val="en-US" w:eastAsia="zh-CN" w:bidi="ar-SA"/>
    </w:rPr>
  </w:style>
  <w:style w:type="paragraph" w:customStyle="1" w:styleId="40">
    <w:name w:val="修订1"/>
    <w:qFormat/>
    <w:uiPriority w:val="99"/>
    <w:rPr>
      <w:rFonts w:ascii="宋体" w:hAnsi="宋体" w:eastAsia="仿宋" w:cs="宋体"/>
      <w:color w:val="000000"/>
      <w:kern w:val="2"/>
      <w:sz w:val="24"/>
      <w:szCs w:val="22"/>
      <w:lang w:val="en-US" w:eastAsia="zh-CN" w:bidi="ar-SA"/>
    </w:rPr>
  </w:style>
  <w:style w:type="paragraph" w:customStyle="1" w:styleId="41">
    <w:name w:val="样式 首行缩进:  2 字符"/>
    <w:basedOn w:val="1"/>
    <w:qFormat/>
    <w:uiPriority w:val="0"/>
    <w:pPr>
      <w:spacing w:line="400" w:lineRule="exact"/>
      <w:ind w:firstLine="200" w:firstLineChars="200"/>
    </w:pPr>
    <w:rPr>
      <w:rFonts w:ascii="Times New Roman" w:hAnsi="Times New Roman" w:eastAsia="宋体" w:cs="Times New Roman"/>
      <w:color w:val="auto"/>
      <w:szCs w:val="20"/>
    </w:rPr>
  </w:style>
  <w:style w:type="paragraph" w:customStyle="1" w:styleId="42">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3">
    <w:name w:val="页码1"/>
    <w:qFormat/>
    <w:uiPriority w:val="0"/>
    <w:rPr>
      <w:rFonts w:cs="Times New Roman"/>
    </w:rPr>
  </w:style>
  <w:style w:type="character" w:customStyle="1" w:styleId="44">
    <w:name w:val="日期 Char"/>
    <w:basedOn w:val="21"/>
    <w:link w:val="10"/>
    <w:qFormat/>
    <w:uiPriority w:val="99"/>
    <w:rPr>
      <w:rFonts w:eastAsia="仿宋" w:cs="宋体"/>
      <w:color w:val="000000"/>
      <w:sz w:val="24"/>
      <w:szCs w:val="22"/>
    </w:rPr>
  </w:style>
  <w:style w:type="paragraph" w:customStyle="1" w:styleId="45">
    <w:name w:val="TOC 标题1"/>
    <w:basedOn w:val="4"/>
    <w:next w:val="1"/>
    <w:qFormat/>
    <w:uiPriority w:val="39"/>
    <w:pPr>
      <w:widowControl/>
      <w:spacing w:before="480" w:line="276" w:lineRule="auto"/>
      <w:ind w:firstLine="0"/>
      <w:jc w:val="left"/>
      <w:outlineLvl w:val="9"/>
    </w:pPr>
    <w:rPr>
      <w:rFonts w:ascii="Cambria" w:hAnsi="Cambria"/>
      <w:bCs/>
      <w:color w:val="365F91"/>
      <w:kern w:val="0"/>
      <w:sz w:val="28"/>
      <w:szCs w:val="28"/>
    </w:rPr>
  </w:style>
  <w:style w:type="paragraph" w:customStyle="1" w:styleId="46">
    <w:name w:val="正文首行缩进两字符"/>
    <w:basedOn w:val="1"/>
    <w:qFormat/>
    <w:uiPriority w:val="99"/>
    <w:pPr>
      <w:ind w:firstLine="200" w:firstLineChars="200"/>
    </w:pPr>
  </w:style>
  <w:style w:type="character" w:customStyle="1" w:styleId="47">
    <w:name w:val="hover13"/>
    <w:basedOn w:val="21"/>
    <w:qFormat/>
    <w:uiPriority w:val="0"/>
    <w:rPr>
      <w:rFonts w:ascii="微软雅黑" w:hAnsi="微软雅黑" w:eastAsia="微软雅黑" w:cs="微软雅黑"/>
      <w:color w:val="FFFFFF"/>
      <w:sz w:val="24"/>
      <w:szCs w:val="24"/>
    </w:rPr>
  </w:style>
  <w:style w:type="character" w:customStyle="1" w:styleId="48">
    <w:name w:val="hover14"/>
    <w:basedOn w:val="21"/>
    <w:qFormat/>
    <w:uiPriority w:val="0"/>
    <w:rPr>
      <w:rFonts w:ascii="微软雅黑" w:hAnsi="微软雅黑" w:eastAsia="微软雅黑" w:cs="微软雅黑"/>
      <w:color w:val="FFFFFF"/>
      <w:sz w:val="24"/>
      <w:szCs w:val="24"/>
    </w:rPr>
  </w:style>
  <w:style w:type="paragraph" w:customStyle="1" w:styleId="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0">
    <w:name w:val="TOC 标题2"/>
    <w:basedOn w:val="4"/>
    <w:next w:val="1"/>
    <w:qFormat/>
    <w:uiPriority w:val="39"/>
    <w:pPr>
      <w:widowControl/>
      <w:spacing w:before="480" w:line="276" w:lineRule="auto"/>
      <w:ind w:firstLine="0"/>
      <w:jc w:val="left"/>
      <w:outlineLvl w:val="9"/>
    </w:pPr>
    <w:rPr>
      <w:rFonts w:ascii="Cambria" w:hAnsi="Cambria"/>
      <w:bCs/>
      <w:color w:val="365F91"/>
      <w:kern w:val="0"/>
      <w:sz w:val="28"/>
      <w:szCs w:val="28"/>
    </w:rPr>
  </w:style>
  <w:style w:type="character" w:customStyle="1" w:styleId="51">
    <w:name w:val="正文文本 Char"/>
    <w:basedOn w:val="21"/>
    <w:link w:val="2"/>
    <w:qFormat/>
    <w:uiPriority w:val="0"/>
    <w:rPr>
      <w:kern w:val="2"/>
      <w:sz w:val="21"/>
      <w:szCs w:val="24"/>
    </w:rPr>
  </w:style>
  <w:style w:type="character" w:customStyle="1" w:styleId="52">
    <w:name w:val="c-icon14"/>
    <w:basedOn w:val="21"/>
    <w:qFormat/>
    <w:uiPriority w:val="0"/>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09正文_wh"/>
    <w:qFormat/>
    <w:uiPriority w:val="0"/>
    <w:pPr>
      <w:spacing w:line="300" w:lineRule="auto"/>
      <w:ind w:firstLine="200" w:firstLineChars="200"/>
      <w:jc w:val="both"/>
    </w:pPr>
    <w:rPr>
      <w:rFonts w:ascii="Calibri" w:hAnsi="Calibri" w:eastAsia="宋体" w:cs="Times New Roman"/>
      <w:kern w:val="2"/>
      <w:sz w:val="28"/>
      <w:szCs w:val="24"/>
      <w:lang w:val="en-US" w:eastAsia="zh-CN" w:bidi="ar-SA"/>
    </w:rPr>
  </w:style>
  <w:style w:type="paragraph" w:customStyle="1" w:styleId="55">
    <w:name w:val="p0"/>
    <w:basedOn w:val="1"/>
    <w:qFormat/>
    <w:uiPriority w:val="0"/>
    <w:rPr>
      <w:rFonts w:ascii="Times New Roman" w:hAnsi="Times New Roman" w:cs="Times New Roman"/>
      <w:sz w:val="21"/>
      <w:szCs w:val="21"/>
    </w:rPr>
  </w:style>
  <w:style w:type="character" w:customStyle="1" w:styleId="56">
    <w:name w:val="15"/>
    <w:qFormat/>
    <w:uiPriority w:val="0"/>
    <w:rPr>
      <w:rFonts w:hint="default" w:ascii="Times New Roman" w:hAnsi="Times New Roman" w:cs="Times New Roman"/>
      <w:color w:val="464445"/>
      <w:u w:val="none"/>
    </w:rPr>
  </w:style>
  <w:style w:type="character" w:customStyle="1" w:styleId="57">
    <w:name w:val="标题 Char"/>
    <w:link w:val="18"/>
    <w:qFormat/>
    <w:uiPriority w:val="10"/>
    <w:rPr>
      <w:rFonts w:ascii="Cambria" w:hAnsi="Cambria" w:cs="Times New Roman"/>
      <w:b/>
      <w:bCs/>
      <w:szCs w:val="32"/>
    </w:rPr>
  </w:style>
  <w:style w:type="character" w:customStyle="1" w:styleId="58">
    <w:name w:val="副标题 Char"/>
    <w:link w:val="15"/>
    <w:qFormat/>
    <w:uiPriority w:val="11"/>
    <w:rPr>
      <w:rFonts w:ascii="Cambria" w:hAnsi="Cambria" w:eastAsiaTheme="minorEastAsia" w:cstheme="min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164F1E-E1D7-47C9-B658-94525410025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12042</Words>
  <Characters>12668</Characters>
  <Lines>103</Lines>
  <Paragraphs>29</Paragraphs>
  <TotalTime>74</TotalTime>
  <ScaleCrop>false</ScaleCrop>
  <LinksUpToDate>false</LinksUpToDate>
  <CharactersWithSpaces>13918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2019-01-21T00:40:00Z</dcterms:created>
  <dc:creator>微软用户</dc:creator>
  <cp:lastModifiedBy>软</cp:lastModifiedBy>
  <cp:lastPrinted>2021-01-21T06:02:00Z</cp:lastPrinted>
  <dcterms:modified xsi:type="dcterms:W3CDTF">2022-04-21T09:33:49Z</dcterms:modified>
  <cp:revision>729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E36315BD1ACC429A944115254DBA878D</vt:lpwstr>
  </property>
  <property fmtid="{D5CDD505-2E9C-101B-9397-08002B2CF9AE}" pid="4" name="commondata">
    <vt:lpwstr>eyJoZGlkIjoiMWVhOTkxZjc1ZjlkZWQwOTk3YzdkZmU2YjM1NDA4YzcifQ==</vt:lpwstr>
  </property>
</Properties>
</file>